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EEA235C" w:rsidR="0063530F" w:rsidRPr="00C0407C" w:rsidRDefault="00C41018" w:rsidP="0093730E">
      <w:pPr>
        <w:jc w:val="both"/>
        <w:rPr>
          <w:sz w:val="18"/>
          <w:szCs w:val="18"/>
          <w:u w:val="single"/>
        </w:rPr>
      </w:pPr>
      <w:r w:rsidRPr="00C0407C">
        <w:rPr>
          <w:sz w:val="18"/>
          <w:szCs w:val="18"/>
          <w:u w:val="single"/>
        </w:rPr>
        <w:t>Joindre une copie de votre document d’identité</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706907D" w:rsidR="00504CD0" w:rsidRDefault="00C41018" w:rsidP="0093730E">
      <w:pPr>
        <w:jc w:val="both"/>
        <w:rPr>
          <w:sz w:val="20"/>
          <w:szCs w:val="20"/>
          <w:u w:val="single"/>
        </w:rPr>
      </w:pPr>
      <w:r w:rsidRPr="00C0407C">
        <w:rPr>
          <w:sz w:val="18"/>
          <w:szCs w:val="18"/>
          <w:u w:val="single"/>
        </w:rPr>
        <w:t>Joindre une copie de votre document d’identité</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2C222147" w:rsidR="00033580" w:rsidRPr="00045F3F" w:rsidRDefault="00033580" w:rsidP="003049EA">
      <w:pPr>
        <w:rPr>
          <w:sz w:val="22"/>
          <w:szCs w:val="22"/>
          <w:lang w:val="fr-BE"/>
        </w:rPr>
      </w:pPr>
      <w:r w:rsidRPr="00045F3F">
        <w:rPr>
          <w:sz w:val="22"/>
          <w:szCs w:val="22"/>
          <w:lang w:val="fr-BE"/>
        </w:rPr>
        <w:t xml:space="preserve">Adresse : </w:t>
      </w:r>
      <w:r w:rsidR="007F0807">
        <w:rPr>
          <w:sz w:val="22"/>
          <w:szCs w:val="22"/>
          <w:lang w:val="fr-BE"/>
        </w:rPr>
        <w:t>Avenue de la Charmille 18, 1200 Woluwe-Saint-Lambert, appartement J12 et la cave 141 ;</w:t>
      </w:r>
    </w:p>
    <w:p w14:paraId="2C36231D" w14:textId="504DBE76" w:rsidR="005C15B9" w:rsidRPr="00045F3F" w:rsidRDefault="005C15B9" w:rsidP="003049EA">
      <w:pPr>
        <w:rPr>
          <w:sz w:val="22"/>
          <w:szCs w:val="22"/>
          <w:lang w:val="fr-BE"/>
        </w:rPr>
      </w:pPr>
      <w:r w:rsidRPr="00045F3F">
        <w:rPr>
          <w:sz w:val="22"/>
          <w:szCs w:val="22"/>
          <w:lang w:val="fr-BE"/>
        </w:rPr>
        <w:t>Nature du bien :</w:t>
      </w:r>
      <w:r w:rsidR="007F0807">
        <w:rPr>
          <w:sz w:val="22"/>
          <w:szCs w:val="22"/>
          <w:lang w:val="fr-BE"/>
        </w:rPr>
        <w:t xml:space="preserve"> logement + cave</w:t>
      </w:r>
    </w:p>
    <w:p w14:paraId="5386E22E" w14:textId="62CB88B8" w:rsidR="00033580" w:rsidRPr="00045F3F" w:rsidRDefault="00033580" w:rsidP="003049EA">
      <w:pPr>
        <w:rPr>
          <w:sz w:val="22"/>
          <w:szCs w:val="22"/>
          <w:lang w:val="fr-BE"/>
        </w:rPr>
      </w:pPr>
      <w:r w:rsidRPr="00045F3F">
        <w:rPr>
          <w:sz w:val="22"/>
          <w:szCs w:val="22"/>
          <w:lang w:val="fr-BE"/>
        </w:rPr>
        <w:t>Revenu cadastral </w:t>
      </w:r>
      <w:r w:rsidR="007F0807">
        <w:rPr>
          <w:sz w:val="22"/>
          <w:szCs w:val="22"/>
          <w:lang w:val="fr-BE"/>
        </w:rPr>
        <w:t xml:space="preserve">non-indexé </w:t>
      </w:r>
      <w:r w:rsidRPr="00045F3F">
        <w:rPr>
          <w:sz w:val="22"/>
          <w:szCs w:val="22"/>
          <w:lang w:val="fr-BE"/>
        </w:rPr>
        <w:t xml:space="preserve">: </w:t>
      </w:r>
      <w:r w:rsidR="007F0807">
        <w:rPr>
          <w:sz w:val="22"/>
          <w:szCs w:val="22"/>
          <w:lang w:val="fr-BE"/>
        </w:rPr>
        <w:t>1430€</w:t>
      </w:r>
    </w:p>
    <w:p w14:paraId="7F8A8006" w14:textId="61C77D71" w:rsidR="00033580" w:rsidRPr="00045F3F" w:rsidRDefault="00033580" w:rsidP="003049EA">
      <w:pPr>
        <w:rPr>
          <w:sz w:val="22"/>
          <w:szCs w:val="22"/>
          <w:lang w:val="fr-BE"/>
        </w:rPr>
      </w:pPr>
      <w:r w:rsidRPr="00045F3F">
        <w:rPr>
          <w:sz w:val="22"/>
          <w:szCs w:val="22"/>
          <w:lang w:val="fr-BE"/>
        </w:rPr>
        <w:t xml:space="preserve">Nombre de millièmes dans les parties communes : </w:t>
      </w:r>
      <w:r w:rsidR="007F0807">
        <w:rPr>
          <w:sz w:val="22"/>
          <w:szCs w:val="22"/>
          <w:lang w:val="fr-BE"/>
        </w:rPr>
        <w:t>59/9995èmes</w:t>
      </w: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03CC3E28" w14:textId="7893EA1D"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w:t>
      </w:r>
      <w:r w:rsidR="007F0807">
        <w:rPr>
          <w:rFonts w:cstheme="majorHAnsi"/>
          <w:sz w:val="22"/>
          <w:szCs w:val="22"/>
          <w:lang w:val="fr-BE"/>
        </w:rPr>
        <w:t> : néant ;</w:t>
      </w:r>
    </w:p>
    <w:p w14:paraId="4D792E0B" w14:textId="77777777"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toute réserve de combustible (mazout, gaz,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65E1FBD5" w14:textId="77777777" w:rsidR="006D4327" w:rsidRDefault="006D4327"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lastRenderedPageBreak/>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67F2C149" w:rsidR="006C1A77" w:rsidRPr="00045F3F" w:rsidRDefault="006C1A77" w:rsidP="0093730E">
      <w:pPr>
        <w:jc w:val="both"/>
        <w:rPr>
          <w:bCs/>
          <w:sz w:val="22"/>
          <w:szCs w:val="22"/>
        </w:rPr>
      </w:pPr>
      <w:r w:rsidRPr="00045F3F">
        <w:rPr>
          <w:bCs/>
          <w:sz w:val="22"/>
          <w:szCs w:val="22"/>
        </w:rPr>
        <w:t>Un acompte de 5% / 10% (entourer votre réponse),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373C83B3" w:rsidR="006C1A77" w:rsidRPr="00045F3F" w:rsidRDefault="009F308A" w:rsidP="0093730E">
      <w:pPr>
        <w:jc w:val="both"/>
        <w:rPr>
          <w:bCs/>
          <w:sz w:val="22"/>
          <w:szCs w:val="22"/>
        </w:rPr>
      </w:pPr>
      <w:r w:rsidRPr="00045F3F">
        <w:rPr>
          <w:bCs/>
          <w:sz w:val="22"/>
          <w:szCs w:val="22"/>
        </w:rPr>
        <w:t xml:space="preserve">Le solde du prix de vente sera payé le jour de l’acte authentique de vente. </w:t>
      </w: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5A130C4C" w14:textId="77777777" w:rsidR="004008C8" w:rsidRPr="004008C8" w:rsidRDefault="004008C8" w:rsidP="004008C8">
      <w:pPr>
        <w:jc w:val="both"/>
        <w:rPr>
          <w:sz w:val="22"/>
          <w:szCs w:val="22"/>
        </w:rPr>
      </w:pPr>
      <w:r w:rsidRPr="004008C8">
        <w:rPr>
          <w:sz w:val="22"/>
          <w:szCs w:val="22"/>
        </w:rPr>
        <w:t>Le bien est vendu dans son état actuel. 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25FF26EF" w14:textId="77777777" w:rsidR="004008C8" w:rsidRPr="004008C8" w:rsidRDefault="004008C8" w:rsidP="004008C8">
      <w:pPr>
        <w:jc w:val="both"/>
        <w:rPr>
          <w:sz w:val="22"/>
          <w:szCs w:val="22"/>
        </w:rPr>
      </w:pPr>
      <w:r w:rsidRPr="004008C8">
        <w:rPr>
          <w:sz w:val="22"/>
          <w:szCs w:val="22"/>
        </w:rPr>
        <w:t>Le vendeur déclare ne pas avoir connaissance de l’existence de vices cachés.</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062BC6CA" w14:textId="77777777" w:rsidR="004008C8" w:rsidRPr="00AB09A8" w:rsidRDefault="004008C8" w:rsidP="004008C8">
      <w:pPr>
        <w:jc w:val="both"/>
        <w:rPr>
          <w:sz w:val="22"/>
          <w:szCs w:val="22"/>
          <w:lang w:val="fr-BE"/>
        </w:rPr>
      </w:pPr>
      <w:r w:rsidRPr="00AB09A8">
        <w:rPr>
          <w:sz w:val="22"/>
          <w:szCs w:val="22"/>
        </w:rPr>
        <w:t>L’acquéreur reconnait avoir reçu antérieurement aux présentes et pris connaissance</w:t>
      </w:r>
      <w:r w:rsidRPr="00AB09A8">
        <w:rPr>
          <w:sz w:val="22"/>
          <w:szCs w:val="22"/>
          <w:lang w:val="fr-BE"/>
        </w:rPr>
        <w:t xml:space="preserve"> du PEB du bien vendu.</w:t>
      </w:r>
    </w:p>
    <w:p w14:paraId="5D29DEE3" w14:textId="77777777" w:rsidR="004008C8" w:rsidRPr="00AB09A8" w:rsidRDefault="004008C8" w:rsidP="0093730E">
      <w:pPr>
        <w:jc w:val="both"/>
      </w:pPr>
    </w:p>
    <w:p w14:paraId="1CE83623" w14:textId="77777777" w:rsidR="004008C8" w:rsidRPr="00AB09A8" w:rsidRDefault="004008C8" w:rsidP="0093730E">
      <w:pPr>
        <w:jc w:val="both"/>
      </w:pPr>
    </w:p>
    <w:p w14:paraId="77E7276B" w14:textId="135941FE" w:rsidR="004008C8" w:rsidRPr="00AB09A8" w:rsidRDefault="004008C8" w:rsidP="004008C8">
      <w:pPr>
        <w:pStyle w:val="Paragraphedeliste"/>
        <w:numPr>
          <w:ilvl w:val="0"/>
          <w:numId w:val="11"/>
        </w:numPr>
        <w:jc w:val="both"/>
      </w:pPr>
      <w:r w:rsidRPr="00AB09A8">
        <w:t xml:space="preserve">Installation électrique : </w:t>
      </w:r>
    </w:p>
    <w:p w14:paraId="79E03E69" w14:textId="77777777" w:rsidR="004008C8" w:rsidRPr="00AB09A8" w:rsidRDefault="004008C8" w:rsidP="004008C8">
      <w:pPr>
        <w:jc w:val="both"/>
      </w:pPr>
    </w:p>
    <w:p w14:paraId="2AC73CCE" w14:textId="77777777" w:rsidR="004008C8" w:rsidRPr="00AB09A8" w:rsidRDefault="004008C8" w:rsidP="004008C8">
      <w:pPr>
        <w:jc w:val="both"/>
        <w:rPr>
          <w:sz w:val="22"/>
          <w:szCs w:val="22"/>
          <w:lang w:val="fr-BE"/>
        </w:rPr>
      </w:pPr>
      <w:r w:rsidRPr="00AB09A8">
        <w:rPr>
          <w:sz w:val="22"/>
          <w:szCs w:val="22"/>
        </w:rPr>
        <w:t>L’acquéreur reconnait avoir reçu antérieurement aux présentes et pris connaissance</w:t>
      </w:r>
      <w:r w:rsidRPr="00AB09A8">
        <w:rPr>
          <w:sz w:val="22"/>
          <w:szCs w:val="22"/>
          <w:lang w:val="fr-BE"/>
        </w:rPr>
        <w:t xml:space="preserve"> du certificat électrique.</w:t>
      </w:r>
    </w:p>
    <w:p w14:paraId="7C583498" w14:textId="77777777" w:rsidR="00D558F2" w:rsidRPr="00AB09A8" w:rsidRDefault="00D558F2" w:rsidP="0093730E">
      <w:pPr>
        <w:jc w:val="both"/>
        <w:rPr>
          <w:lang w:val="fr-BE"/>
        </w:rPr>
      </w:pPr>
    </w:p>
    <w:p w14:paraId="517761C5" w14:textId="77777777" w:rsidR="00D558F2" w:rsidRPr="00AB09A8" w:rsidRDefault="00D558F2" w:rsidP="0093730E">
      <w:pPr>
        <w:jc w:val="both"/>
        <w:rPr>
          <w:lang w:val="fr-BE"/>
        </w:rPr>
      </w:pPr>
    </w:p>
    <w:p w14:paraId="44BD681C" w14:textId="291009C0" w:rsidR="0085390D" w:rsidRPr="00AB09A8" w:rsidRDefault="0085390D" w:rsidP="00D558F2">
      <w:pPr>
        <w:pStyle w:val="Paragraphedeliste"/>
        <w:numPr>
          <w:ilvl w:val="0"/>
          <w:numId w:val="11"/>
        </w:numPr>
        <w:jc w:val="both"/>
      </w:pPr>
      <w:r w:rsidRPr="00AB09A8">
        <w:t xml:space="preserve">Urbanisme : </w:t>
      </w:r>
    </w:p>
    <w:p w14:paraId="314FE4A5" w14:textId="77777777" w:rsidR="0085390D" w:rsidRPr="00AB09A8" w:rsidRDefault="0085390D" w:rsidP="0085390D">
      <w:pPr>
        <w:jc w:val="both"/>
      </w:pPr>
    </w:p>
    <w:p w14:paraId="5B550DF5" w14:textId="7C145CF8" w:rsidR="0085390D" w:rsidRPr="00AB09A8" w:rsidRDefault="0085390D" w:rsidP="0085390D">
      <w:pPr>
        <w:jc w:val="both"/>
        <w:rPr>
          <w:sz w:val="22"/>
          <w:szCs w:val="22"/>
          <w:lang w:val="fr-BE"/>
        </w:rPr>
      </w:pPr>
      <w:r w:rsidRPr="00AB09A8">
        <w:rPr>
          <w:sz w:val="22"/>
          <w:szCs w:val="22"/>
        </w:rPr>
        <w:t>L’</w:t>
      </w:r>
      <w:r w:rsidR="00D558F2" w:rsidRPr="00AB09A8">
        <w:rPr>
          <w:sz w:val="22"/>
          <w:szCs w:val="22"/>
        </w:rPr>
        <w:t xml:space="preserve"> </w:t>
      </w:r>
      <w:r w:rsidRPr="00AB09A8">
        <w:rPr>
          <w:sz w:val="22"/>
          <w:szCs w:val="22"/>
        </w:rPr>
        <w:t>acquéreur reconnait avoir reçu antérieurement aux présentes et pris connaissance</w:t>
      </w:r>
      <w:r w:rsidRPr="00AB09A8">
        <w:rPr>
          <w:sz w:val="22"/>
          <w:szCs w:val="22"/>
          <w:lang w:val="fr-BE"/>
        </w:rPr>
        <w:t xml:space="preserve"> des renseignements urbanistiques du bien vendu.</w:t>
      </w:r>
    </w:p>
    <w:p w14:paraId="4BD1C3C8" w14:textId="77777777" w:rsidR="0085390D" w:rsidRPr="00AB09A8" w:rsidRDefault="0085390D" w:rsidP="0093730E">
      <w:pPr>
        <w:jc w:val="both"/>
      </w:pPr>
    </w:p>
    <w:p w14:paraId="38E25AA2" w14:textId="77777777" w:rsidR="0085390D" w:rsidRPr="00AB09A8" w:rsidRDefault="0085390D" w:rsidP="0093730E">
      <w:pPr>
        <w:jc w:val="both"/>
      </w:pPr>
    </w:p>
    <w:p w14:paraId="261F32FF" w14:textId="1B62D69D" w:rsidR="0085390D" w:rsidRPr="00AB09A8" w:rsidRDefault="0085390D" w:rsidP="00D558F2">
      <w:pPr>
        <w:pStyle w:val="Paragraphedeliste"/>
        <w:numPr>
          <w:ilvl w:val="0"/>
          <w:numId w:val="11"/>
        </w:numPr>
        <w:jc w:val="both"/>
      </w:pPr>
      <w:r w:rsidRPr="00AB09A8">
        <w:t>Documents de la copropriété :</w:t>
      </w:r>
    </w:p>
    <w:p w14:paraId="15F41C22" w14:textId="77777777" w:rsidR="0085390D" w:rsidRPr="00AB09A8" w:rsidRDefault="0085390D" w:rsidP="0085390D">
      <w:pPr>
        <w:jc w:val="both"/>
      </w:pPr>
    </w:p>
    <w:p w14:paraId="6F6302F1" w14:textId="77777777" w:rsidR="0085390D" w:rsidRPr="00AB09A8" w:rsidRDefault="0085390D" w:rsidP="0085390D">
      <w:pPr>
        <w:jc w:val="both"/>
        <w:rPr>
          <w:sz w:val="22"/>
          <w:szCs w:val="22"/>
          <w:lang w:val="fr-BE"/>
        </w:rPr>
      </w:pPr>
      <w:r w:rsidRPr="00AB09A8">
        <w:rPr>
          <w:sz w:val="22"/>
          <w:szCs w:val="22"/>
          <w:lang w:val="fr-BE"/>
        </w:rPr>
        <w:t>L’ acquéreur déclare qu’il a reçu avant l’émission de la présente offre les documents concernant la copropriété, à savoir :</w:t>
      </w:r>
    </w:p>
    <w:p w14:paraId="4474CDDD" w14:textId="77777777" w:rsidR="0085390D" w:rsidRPr="00AB09A8" w:rsidRDefault="0085390D" w:rsidP="0085390D">
      <w:pPr>
        <w:jc w:val="both"/>
        <w:rPr>
          <w:sz w:val="22"/>
          <w:szCs w:val="22"/>
          <w:lang w:val="fr-BE"/>
        </w:rPr>
      </w:pPr>
    </w:p>
    <w:p w14:paraId="500A69EE" w14:textId="77777777" w:rsidR="0085390D" w:rsidRPr="00AB09A8" w:rsidRDefault="0085390D" w:rsidP="0085390D">
      <w:pPr>
        <w:numPr>
          <w:ilvl w:val="0"/>
          <w:numId w:val="15"/>
        </w:numPr>
        <w:jc w:val="both"/>
        <w:rPr>
          <w:sz w:val="22"/>
          <w:szCs w:val="22"/>
          <w:lang w:val="fr-BE"/>
        </w:rPr>
      </w:pPr>
      <w:r w:rsidRPr="00AB09A8">
        <w:rPr>
          <w:sz w:val="22"/>
          <w:szCs w:val="22"/>
          <w:lang w:val="fr-BE"/>
        </w:rPr>
        <w:t>les statuts (acte de base et règlement de copropriété) ;</w:t>
      </w:r>
    </w:p>
    <w:p w14:paraId="3A8EB6B6" w14:textId="77777777" w:rsidR="0085390D" w:rsidRPr="00AB09A8" w:rsidRDefault="0085390D" w:rsidP="0085390D">
      <w:pPr>
        <w:numPr>
          <w:ilvl w:val="0"/>
          <w:numId w:val="15"/>
        </w:numPr>
        <w:jc w:val="both"/>
        <w:rPr>
          <w:sz w:val="22"/>
          <w:szCs w:val="22"/>
          <w:lang w:val="fr-BE"/>
        </w:rPr>
      </w:pPr>
      <w:r w:rsidRPr="00AB09A8">
        <w:rPr>
          <w:sz w:val="22"/>
          <w:szCs w:val="22"/>
          <w:lang w:val="fr-BE"/>
        </w:rPr>
        <w:t>le règlement d’ordre intérieur ;</w:t>
      </w:r>
    </w:p>
    <w:p w14:paraId="10044980" w14:textId="77777777" w:rsidR="0085390D" w:rsidRPr="00AB09A8" w:rsidRDefault="0085390D" w:rsidP="0085390D">
      <w:pPr>
        <w:numPr>
          <w:ilvl w:val="0"/>
          <w:numId w:val="15"/>
        </w:numPr>
        <w:jc w:val="both"/>
        <w:rPr>
          <w:sz w:val="22"/>
          <w:szCs w:val="22"/>
          <w:lang w:val="fr-BE"/>
        </w:rPr>
      </w:pPr>
      <w:r w:rsidRPr="00AB09A8">
        <w:rPr>
          <w:sz w:val="22"/>
          <w:szCs w:val="22"/>
          <w:lang w:val="fr-BE"/>
        </w:rPr>
        <w:t xml:space="preserve">le montant du </w:t>
      </w:r>
      <w:hyperlink r:id="rId9" w:history="1">
        <w:r w:rsidRPr="00AB09A8">
          <w:rPr>
            <w:rStyle w:val="Lienhypertexte"/>
            <w:color w:val="auto"/>
            <w:sz w:val="22"/>
            <w:szCs w:val="22"/>
            <w:lang w:val="fr-BE"/>
          </w:rPr>
          <w:t>fonds de roulement</w:t>
        </w:r>
      </w:hyperlink>
      <w:r w:rsidRPr="00AB09A8">
        <w:rPr>
          <w:sz w:val="22"/>
          <w:szCs w:val="22"/>
          <w:lang w:val="fr-BE"/>
        </w:rPr>
        <w:t xml:space="preserve"> et du </w:t>
      </w:r>
      <w:hyperlink r:id="rId10" w:history="1">
        <w:r w:rsidRPr="00AB09A8">
          <w:rPr>
            <w:rStyle w:val="Lienhypertexte"/>
            <w:color w:val="auto"/>
            <w:sz w:val="22"/>
            <w:szCs w:val="22"/>
            <w:lang w:val="fr-BE"/>
          </w:rPr>
          <w:t>fonds de réserve</w:t>
        </w:r>
      </w:hyperlink>
      <w:r w:rsidRPr="00AB09A8">
        <w:rPr>
          <w:sz w:val="22"/>
          <w:szCs w:val="22"/>
          <w:lang w:val="fr-BE"/>
        </w:rPr>
        <w:t xml:space="preserve"> ;</w:t>
      </w:r>
    </w:p>
    <w:p w14:paraId="0F845DC3" w14:textId="77777777" w:rsidR="0085390D" w:rsidRPr="00AB09A8" w:rsidRDefault="0085390D" w:rsidP="0085390D">
      <w:pPr>
        <w:numPr>
          <w:ilvl w:val="0"/>
          <w:numId w:val="15"/>
        </w:numPr>
        <w:jc w:val="both"/>
        <w:rPr>
          <w:sz w:val="22"/>
          <w:szCs w:val="22"/>
          <w:lang w:val="fr-BE"/>
        </w:rPr>
      </w:pPr>
      <w:r w:rsidRPr="00AB09A8">
        <w:rPr>
          <w:sz w:val="22"/>
          <w:szCs w:val="22"/>
          <w:lang w:val="fr-BE"/>
        </w:rPr>
        <w:lastRenderedPageBreak/>
        <w:t>le montant des arriérés éventuels dus par le vendeur en ce compris les frais de récupération judiciaires ou extrajudiciaires ainsi que les frais de transmission des informations requises par la loi ;</w:t>
      </w:r>
    </w:p>
    <w:p w14:paraId="640DC666" w14:textId="77777777" w:rsidR="0085390D" w:rsidRPr="00AB09A8" w:rsidRDefault="0085390D" w:rsidP="0085390D">
      <w:pPr>
        <w:numPr>
          <w:ilvl w:val="0"/>
          <w:numId w:val="15"/>
        </w:numPr>
        <w:jc w:val="both"/>
        <w:rPr>
          <w:sz w:val="22"/>
          <w:szCs w:val="22"/>
          <w:lang w:val="fr-BE"/>
        </w:rPr>
      </w:pPr>
      <w:r w:rsidRPr="00AB09A8">
        <w:rPr>
          <w:sz w:val="22"/>
          <w:szCs w:val="22"/>
          <w:lang w:val="fr-BE"/>
        </w:rPr>
        <w:t xml:space="preserve">la situation des appels de fonds, destinés au </w:t>
      </w:r>
      <w:hyperlink r:id="rId11" w:history="1">
        <w:r w:rsidRPr="00AB09A8">
          <w:rPr>
            <w:rStyle w:val="Lienhypertexte"/>
            <w:color w:val="auto"/>
            <w:sz w:val="22"/>
            <w:szCs w:val="22"/>
            <w:lang w:val="fr-BE"/>
          </w:rPr>
          <w:t>fonds de réserve</w:t>
        </w:r>
      </w:hyperlink>
      <w:r w:rsidRPr="00AB09A8">
        <w:rPr>
          <w:sz w:val="22"/>
          <w:szCs w:val="22"/>
          <w:lang w:val="fr-BE"/>
        </w:rPr>
        <w:t xml:space="preserve"> et décidés par l’assemblée générale des copropriétaires, avant la </w:t>
      </w:r>
      <w:hyperlink r:id="rId12" w:history="1">
        <w:r w:rsidRPr="00AB09A8">
          <w:rPr>
            <w:rStyle w:val="Lienhypertexte"/>
            <w:color w:val="auto"/>
            <w:sz w:val="22"/>
            <w:szCs w:val="22"/>
            <w:lang w:val="fr-BE"/>
          </w:rPr>
          <w:t>date certaine</w:t>
        </w:r>
      </w:hyperlink>
      <w:r w:rsidRPr="00AB09A8">
        <w:rPr>
          <w:sz w:val="22"/>
          <w:szCs w:val="22"/>
          <w:lang w:val="fr-BE"/>
        </w:rPr>
        <w:t xml:space="preserve"> du transfert de propriété ;</w:t>
      </w:r>
    </w:p>
    <w:p w14:paraId="7F81189C" w14:textId="77777777" w:rsidR="0085390D" w:rsidRPr="00AB09A8" w:rsidRDefault="0085390D" w:rsidP="0085390D">
      <w:pPr>
        <w:numPr>
          <w:ilvl w:val="0"/>
          <w:numId w:val="15"/>
        </w:numPr>
        <w:jc w:val="both"/>
        <w:rPr>
          <w:sz w:val="22"/>
          <w:szCs w:val="22"/>
          <w:lang w:val="fr-BE"/>
        </w:rPr>
      </w:pPr>
      <w:r w:rsidRPr="00AB09A8">
        <w:rPr>
          <w:sz w:val="22"/>
          <w:szCs w:val="22"/>
          <w:lang w:val="fr-BE"/>
        </w:rPr>
        <w:t>le relevé des procédures judiciaires en cours relatives à la copropriété, s’il en existe et des montants en jeu ;</w:t>
      </w:r>
    </w:p>
    <w:p w14:paraId="169A058C" w14:textId="77777777" w:rsidR="0085390D" w:rsidRPr="00AB09A8" w:rsidRDefault="0085390D" w:rsidP="0085390D">
      <w:pPr>
        <w:numPr>
          <w:ilvl w:val="0"/>
          <w:numId w:val="15"/>
        </w:numPr>
        <w:jc w:val="both"/>
        <w:rPr>
          <w:sz w:val="22"/>
          <w:szCs w:val="22"/>
          <w:lang w:val="fr-BE"/>
        </w:rPr>
      </w:pPr>
      <w:r w:rsidRPr="00AB09A8">
        <w:rPr>
          <w:sz w:val="22"/>
          <w:szCs w:val="22"/>
          <w:lang w:val="fr-BE"/>
        </w:rPr>
        <w:t>les procès-verbaux des assemblées générales ordinaires et extraordinaires des 3 dernières années, ainsi que les décomptes périodiques des charges des 2 dernières années ;</w:t>
      </w:r>
    </w:p>
    <w:p w14:paraId="2DD37C7D" w14:textId="77777777" w:rsidR="0085390D" w:rsidRPr="00AB09A8" w:rsidRDefault="0085390D" w:rsidP="0085390D">
      <w:pPr>
        <w:numPr>
          <w:ilvl w:val="0"/>
          <w:numId w:val="15"/>
        </w:numPr>
        <w:jc w:val="both"/>
        <w:rPr>
          <w:sz w:val="22"/>
          <w:szCs w:val="22"/>
          <w:lang w:val="fr-BE"/>
        </w:rPr>
      </w:pPr>
      <w:r w:rsidRPr="00AB09A8">
        <w:rPr>
          <w:sz w:val="22"/>
          <w:szCs w:val="22"/>
          <w:lang w:val="fr-BE"/>
        </w:rPr>
        <w:t>une copie du dernier bilan approuvé par l’assemblée générale des copropriétaires.</w:t>
      </w:r>
    </w:p>
    <w:p w14:paraId="255B9CD5" w14:textId="77777777" w:rsidR="0085390D" w:rsidRPr="00AB09A8" w:rsidRDefault="0085390D" w:rsidP="0085390D">
      <w:pPr>
        <w:jc w:val="both"/>
        <w:rPr>
          <w:sz w:val="22"/>
          <w:szCs w:val="22"/>
          <w:lang w:val="fr-BE"/>
        </w:rPr>
      </w:pPr>
    </w:p>
    <w:p w14:paraId="469C4D8D" w14:textId="77777777" w:rsidR="0085390D" w:rsidRPr="00AB09A8" w:rsidRDefault="0085390D" w:rsidP="0085390D">
      <w:pPr>
        <w:jc w:val="both"/>
        <w:rPr>
          <w:sz w:val="22"/>
          <w:szCs w:val="22"/>
          <w:lang w:val="fr-BE"/>
        </w:rPr>
      </w:pPr>
      <w:r w:rsidRPr="00AB09A8">
        <w:rPr>
          <w:sz w:val="22"/>
          <w:szCs w:val="22"/>
          <w:lang w:val="fr-BE"/>
        </w:rPr>
        <w:t>L’acquéreur doit respecter les statuts, le règlement d'ordre intérieur et les décisions de l'assemblée générale des copropriétaires.</w:t>
      </w:r>
    </w:p>
    <w:p w14:paraId="75580092" w14:textId="77777777" w:rsidR="0085390D" w:rsidRPr="00AB09A8" w:rsidRDefault="0085390D" w:rsidP="0085390D">
      <w:pPr>
        <w:jc w:val="both"/>
        <w:rPr>
          <w:sz w:val="22"/>
          <w:szCs w:val="22"/>
          <w:lang w:val="fr-BE"/>
        </w:rPr>
      </w:pPr>
    </w:p>
    <w:p w14:paraId="4C1AE5E3" w14:textId="77777777" w:rsidR="0085390D" w:rsidRPr="00AB09A8" w:rsidRDefault="0085390D" w:rsidP="0085390D">
      <w:pPr>
        <w:jc w:val="both"/>
        <w:rPr>
          <w:sz w:val="22"/>
          <w:szCs w:val="22"/>
          <w:lang w:val="fr-BE"/>
        </w:rPr>
      </w:pPr>
      <w:r w:rsidRPr="00AB09A8">
        <w:rPr>
          <w:sz w:val="22"/>
          <w:szCs w:val="22"/>
          <w:lang w:val="fr-BE"/>
        </w:rPr>
        <w:t>À l’exception de ce qui est mentionné dans les PV, le vendeur déclare que à sa connaissance :</w:t>
      </w:r>
    </w:p>
    <w:p w14:paraId="3EF21141" w14:textId="77777777" w:rsidR="0085390D" w:rsidRPr="00AB09A8" w:rsidRDefault="0085390D" w:rsidP="0085390D">
      <w:pPr>
        <w:numPr>
          <w:ilvl w:val="0"/>
          <w:numId w:val="15"/>
        </w:numPr>
        <w:jc w:val="both"/>
        <w:rPr>
          <w:sz w:val="22"/>
          <w:szCs w:val="22"/>
          <w:lang w:val="fr-BE"/>
        </w:rPr>
      </w:pPr>
      <w:r w:rsidRPr="00AB09A8">
        <w:rPr>
          <w:sz w:val="22"/>
          <w:szCs w:val="22"/>
          <w:lang w:val="fr-BE"/>
        </w:rPr>
        <w:t>aucun litige impliquant l’association des copropriétaires n’est actuellement en cours ;</w:t>
      </w:r>
    </w:p>
    <w:p w14:paraId="678CB1A5" w14:textId="77777777" w:rsidR="0085390D" w:rsidRPr="00AB09A8" w:rsidRDefault="0085390D" w:rsidP="0085390D">
      <w:pPr>
        <w:numPr>
          <w:ilvl w:val="0"/>
          <w:numId w:val="15"/>
        </w:numPr>
        <w:jc w:val="both"/>
        <w:rPr>
          <w:sz w:val="22"/>
          <w:szCs w:val="22"/>
          <w:lang w:val="fr-BE"/>
        </w:rPr>
      </w:pPr>
      <w:r w:rsidRPr="00AB09A8">
        <w:rPr>
          <w:sz w:val="22"/>
          <w:szCs w:val="22"/>
          <w:lang w:val="fr-BE"/>
        </w:rPr>
        <w:t>aucune autre dépense extraordinaire n’est à prévoir ;</w:t>
      </w:r>
    </w:p>
    <w:p w14:paraId="2D31FBA9" w14:textId="77777777" w:rsidR="00D12358" w:rsidRPr="00AB09A8" w:rsidRDefault="00D12358" w:rsidP="0093730E">
      <w:pPr>
        <w:jc w:val="both"/>
        <w:rPr>
          <w:sz w:val="22"/>
          <w:szCs w:val="22"/>
        </w:rPr>
      </w:pPr>
    </w:p>
    <w:p w14:paraId="7CACA7BD" w14:textId="77777777" w:rsidR="006D3810" w:rsidRPr="00AB09A8" w:rsidRDefault="006D3810" w:rsidP="0093730E">
      <w:pPr>
        <w:jc w:val="both"/>
        <w:rPr>
          <w:sz w:val="22"/>
          <w:szCs w:val="22"/>
        </w:rPr>
      </w:pPr>
    </w:p>
    <w:p w14:paraId="5AC4136B" w14:textId="1CC6FF5A" w:rsidR="00475973" w:rsidRPr="00AB09A8" w:rsidRDefault="00475973" w:rsidP="00D558F2">
      <w:pPr>
        <w:pStyle w:val="Paragraphedeliste"/>
        <w:numPr>
          <w:ilvl w:val="0"/>
          <w:numId w:val="11"/>
        </w:numPr>
        <w:jc w:val="both"/>
      </w:pPr>
      <w:r w:rsidRPr="00AB09A8">
        <w:t xml:space="preserve">Zones inondables : </w:t>
      </w:r>
    </w:p>
    <w:p w14:paraId="2F29C67D" w14:textId="77777777" w:rsidR="00475973" w:rsidRPr="00AB09A8" w:rsidRDefault="00475973" w:rsidP="00475973">
      <w:pPr>
        <w:jc w:val="both"/>
      </w:pPr>
    </w:p>
    <w:p w14:paraId="3E858179" w14:textId="77777777" w:rsidR="00475973" w:rsidRPr="00AB09A8" w:rsidRDefault="00475973" w:rsidP="00475973">
      <w:pPr>
        <w:jc w:val="both"/>
        <w:rPr>
          <w:sz w:val="22"/>
          <w:szCs w:val="22"/>
        </w:rPr>
      </w:pPr>
      <w:r w:rsidRPr="00AB09A8">
        <w:rPr>
          <w:sz w:val="22"/>
          <w:szCs w:val="22"/>
        </w:rPr>
        <w:t>L’acquéreur est informé que le bien n’est pas situé en zone inondable.</w:t>
      </w:r>
    </w:p>
    <w:p w14:paraId="391C6FCE" w14:textId="77777777" w:rsidR="00BF07EF" w:rsidRPr="00AB09A8" w:rsidRDefault="00BF07EF" w:rsidP="0082522C">
      <w:pPr>
        <w:jc w:val="both"/>
      </w:pPr>
    </w:p>
    <w:p w14:paraId="31DC8B13" w14:textId="77777777" w:rsidR="007F0807" w:rsidRPr="00AB09A8" w:rsidRDefault="007F0807" w:rsidP="0082522C">
      <w:pPr>
        <w:jc w:val="both"/>
      </w:pPr>
    </w:p>
    <w:p w14:paraId="3E3CC6E3" w14:textId="6F8637C3" w:rsidR="00BF07EF" w:rsidRPr="00AB09A8" w:rsidRDefault="00BF07EF" w:rsidP="00BF07EF">
      <w:pPr>
        <w:pStyle w:val="Paragraphedeliste"/>
        <w:numPr>
          <w:ilvl w:val="0"/>
          <w:numId w:val="11"/>
        </w:numPr>
        <w:jc w:val="both"/>
      </w:pPr>
      <w:r w:rsidRPr="00AB09A8">
        <w:t xml:space="preserve">Gestion des sols pollués : </w:t>
      </w:r>
    </w:p>
    <w:p w14:paraId="3CA6CCD4" w14:textId="77777777" w:rsidR="00BF07EF" w:rsidRPr="00AB09A8" w:rsidRDefault="00BF07EF" w:rsidP="00BF07EF">
      <w:pPr>
        <w:jc w:val="both"/>
        <w:rPr>
          <w:sz w:val="22"/>
          <w:szCs w:val="22"/>
        </w:rPr>
      </w:pPr>
    </w:p>
    <w:p w14:paraId="660CBD1A" w14:textId="77777777" w:rsidR="00BF07EF" w:rsidRPr="00AB09A8" w:rsidRDefault="00BF07EF" w:rsidP="00BF07EF">
      <w:pPr>
        <w:jc w:val="both"/>
        <w:rPr>
          <w:sz w:val="22"/>
          <w:szCs w:val="22"/>
        </w:rPr>
      </w:pPr>
      <w:r w:rsidRPr="00AB09A8">
        <w:rPr>
          <w:sz w:val="22"/>
          <w:szCs w:val="22"/>
        </w:rPr>
        <w:t>L’acquéreur est informé que le bien n’est pas repris à l’inventaire des sols pollués. Une attestation fournie par Bruxelles environnement sera remise à l’acquéreur au plus tard pour le jour de l’acte authentique de vente.</w:t>
      </w:r>
    </w:p>
    <w:p w14:paraId="43431291" w14:textId="77777777" w:rsidR="0082522C" w:rsidRDefault="0082522C" w:rsidP="0082522C">
      <w:pPr>
        <w:jc w:val="both"/>
      </w:pPr>
    </w:p>
    <w:p w14:paraId="5D47A0D8" w14:textId="77777777" w:rsidR="0082522C" w:rsidRPr="0085390D" w:rsidRDefault="0082522C" w:rsidP="0082522C">
      <w:pPr>
        <w:jc w:val="both"/>
      </w:pPr>
    </w:p>
    <w:p w14:paraId="7AF60476" w14:textId="4B9FA831" w:rsidR="000401B5" w:rsidRPr="00E86374" w:rsidRDefault="000401B5" w:rsidP="00BF07EF">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1E860DE8"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15 jours qui suivent l’acceptation de la présente offre.</w:t>
      </w:r>
    </w:p>
    <w:p w14:paraId="1EBF4574" w14:textId="3CE7D5F9"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545C595B" w:rsidR="00D065D8" w:rsidRPr="009C13CC" w:rsidRDefault="002703B5" w:rsidP="00BF07EF">
      <w:pPr>
        <w:pStyle w:val="Paragraphedeliste"/>
        <w:numPr>
          <w:ilvl w:val="0"/>
          <w:numId w:val="11"/>
        </w:numPr>
        <w:jc w:val="both"/>
      </w:pPr>
      <w:r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1E8C1886" w:rsidR="00C969E2" w:rsidRPr="00615D13" w:rsidRDefault="00C969E2" w:rsidP="00615D13">
      <w:pPr>
        <w:jc w:val="both"/>
        <w:rPr>
          <w:sz w:val="22"/>
          <w:szCs w:val="22"/>
        </w:rPr>
      </w:pPr>
      <w:r w:rsidRPr="00615D13">
        <w:rPr>
          <w:sz w:val="22"/>
          <w:szCs w:val="22"/>
        </w:rPr>
        <w:lastRenderedPageBreak/>
        <w:t>L’acquéreur prend à sa charge les droits d’enregistrement, ses honoraires de notaire, ses frais de dossiers, sa quote-part dans les frais d’acte de base et sa quote-part dans les frais de géomètre.</w:t>
      </w:r>
    </w:p>
    <w:p w14:paraId="610088D4" w14:textId="77777777" w:rsidR="00806CD2" w:rsidRDefault="00806CD2" w:rsidP="00EA2A7C">
      <w:pPr>
        <w:jc w:val="both"/>
      </w:pPr>
    </w:p>
    <w:p w14:paraId="018D8572" w14:textId="77777777" w:rsidR="00073368" w:rsidRDefault="00073368" w:rsidP="00EA2A7C">
      <w:pPr>
        <w:jc w:val="both"/>
      </w:pPr>
    </w:p>
    <w:p w14:paraId="24F0D473" w14:textId="669C1F93" w:rsidR="00806CD2" w:rsidRPr="008D3A88" w:rsidRDefault="00806CD2" w:rsidP="00BF07EF">
      <w:pPr>
        <w:pStyle w:val="Paragraphedeliste"/>
        <w:numPr>
          <w:ilvl w:val="0"/>
          <w:numId w:val="11"/>
        </w:numPr>
        <w:jc w:val="both"/>
        <w:rPr>
          <w:sz w:val="22"/>
          <w:szCs w:val="22"/>
        </w:rPr>
      </w:pPr>
      <w:r w:rsidRPr="008D3A88">
        <w:t>Condition suspensive d’obtention d’un crédit :</w:t>
      </w:r>
    </w:p>
    <w:p w14:paraId="1BFAA988" w14:textId="77777777" w:rsidR="00806CD2" w:rsidRDefault="00806CD2" w:rsidP="00806CD2">
      <w:pPr>
        <w:pStyle w:val="Paragraphedeliste"/>
        <w:jc w:val="both"/>
      </w:pPr>
    </w:p>
    <w:p w14:paraId="0A87FABF" w14:textId="53F185AE" w:rsidR="00806CD2" w:rsidRPr="0041562E"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dans un délai de ……….. semaines à partir de la signature du compromis.</w:t>
      </w:r>
    </w:p>
    <w:p w14:paraId="1626E2BE" w14:textId="77777777" w:rsidR="00806CD2" w:rsidRDefault="00806CD2" w:rsidP="00806CD2">
      <w:pPr>
        <w:rPr>
          <w:sz w:val="22"/>
          <w:szCs w:val="22"/>
        </w:rPr>
      </w:pPr>
    </w:p>
    <w:p w14:paraId="6842512F" w14:textId="17A26AF0" w:rsidR="001E7498" w:rsidRPr="00076A29" w:rsidRDefault="001E7498" w:rsidP="001E7498">
      <w:pPr>
        <w:rPr>
          <w:sz w:val="20"/>
          <w:szCs w:val="20"/>
        </w:rPr>
      </w:pPr>
      <w:r w:rsidRPr="00076A29">
        <w:rPr>
          <w:sz w:val="20"/>
          <w:szCs w:val="20"/>
        </w:rPr>
        <w:t xml:space="preserve">Si le financement n’est pas obtenu dans le délai fixé, l’acquéreur devra en informer le vendeur par écrit sans quoi la condition suspensive ne sera plus valable et l’acquéreur sera contraint d’acheter le bien. </w:t>
      </w:r>
      <w:r w:rsidR="0004370D">
        <w:rPr>
          <w:sz w:val="20"/>
          <w:szCs w:val="20"/>
        </w:rPr>
        <w:t>L’acheteur est tenu d’une obligation positive de diligence dans l’obtention de son prêt bancaire et l</w:t>
      </w:r>
      <w:r w:rsidRPr="00076A29">
        <w:rPr>
          <w:sz w:val="20"/>
          <w:szCs w:val="20"/>
        </w:rPr>
        <w:t>e vendeur pourra exiger la preuve de deux refus invoqués.</w:t>
      </w:r>
    </w:p>
    <w:p w14:paraId="6BFE45F3" w14:textId="77777777" w:rsidR="001E7498" w:rsidRPr="00BA1906" w:rsidRDefault="001E7498" w:rsidP="00806CD2"/>
    <w:p w14:paraId="63762FEB" w14:textId="77777777" w:rsidR="00E70126" w:rsidRPr="00BA1906" w:rsidRDefault="00E70126" w:rsidP="00806CD2"/>
    <w:p w14:paraId="4CE037FC" w14:textId="30ABB484" w:rsidR="001E7498" w:rsidRPr="00644740" w:rsidRDefault="00644740" w:rsidP="00BF07EF">
      <w:pPr>
        <w:pStyle w:val="Paragraphedeliste"/>
        <w:numPr>
          <w:ilvl w:val="0"/>
          <w:numId w:val="11"/>
        </w:numPr>
        <w:rPr>
          <w:sz w:val="20"/>
          <w:szCs w:val="20"/>
        </w:rPr>
      </w:pPr>
      <w:r>
        <w:rPr>
          <w:sz w:val="28"/>
          <w:szCs w:val="28"/>
        </w:rPr>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13"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BF07EF">
      <w:pPr>
        <w:pStyle w:val="Paragraphedeliste"/>
        <w:numPr>
          <w:ilvl w:val="0"/>
          <w:numId w:val="11"/>
        </w:numPr>
        <w:rPr>
          <w:sz w:val="22"/>
          <w:szCs w:val="22"/>
        </w:rPr>
      </w:pPr>
      <w:r>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AB09A8" w:rsidRDefault="00514B65" w:rsidP="003439FB">
      <w:pPr>
        <w:rPr>
          <w:sz w:val="22"/>
          <w:szCs w:val="22"/>
        </w:rPr>
      </w:pPr>
      <w:r w:rsidRPr="00AB09A8">
        <w:rPr>
          <w:sz w:val="22"/>
          <w:szCs w:val="22"/>
        </w:rPr>
        <w:t>L’</w:t>
      </w:r>
      <w:r w:rsidR="00C77FC1" w:rsidRPr="00AB09A8">
        <w:rPr>
          <w:sz w:val="22"/>
          <w:szCs w:val="22"/>
        </w:rPr>
        <w:t xml:space="preserve"> </w:t>
      </w:r>
      <w:r w:rsidRPr="00AB09A8">
        <w:rPr>
          <w:sz w:val="22"/>
          <w:szCs w:val="22"/>
        </w:rPr>
        <w:t xml:space="preserve">acquéreur aura la jouissance du bien à partir </w:t>
      </w:r>
      <w:r w:rsidR="00D03D5A" w:rsidRPr="00AB09A8">
        <w:rPr>
          <w:sz w:val="22"/>
          <w:szCs w:val="22"/>
        </w:rPr>
        <w:t xml:space="preserve">du jour de l’acte authentique par la prise possession réelle. </w:t>
      </w:r>
      <w:r w:rsidR="00DB2B51" w:rsidRPr="00AB09A8">
        <w:rPr>
          <w:sz w:val="22"/>
          <w:szCs w:val="22"/>
        </w:rPr>
        <w:t>Cette prise de possession sera réalisée par le transfert des clés et le relevé des compteurs qui se dérouleront le jour de l’acte authentique ou dans les jours qui suivent ce derniers.</w:t>
      </w:r>
    </w:p>
    <w:p w14:paraId="0926A93D" w14:textId="77777777" w:rsidR="00D03D5A" w:rsidRPr="00AB09A8" w:rsidRDefault="00D03D5A" w:rsidP="003439FB">
      <w:pPr>
        <w:rPr>
          <w:sz w:val="22"/>
          <w:szCs w:val="22"/>
        </w:rPr>
      </w:pPr>
    </w:p>
    <w:p w14:paraId="637579B3" w14:textId="77777777" w:rsidR="00CB026D" w:rsidRPr="00AB09A8" w:rsidRDefault="00CB026D" w:rsidP="00AB09A8">
      <w:pPr>
        <w:rPr>
          <w:sz w:val="22"/>
          <w:szCs w:val="22"/>
        </w:rPr>
      </w:pPr>
      <w:r w:rsidRPr="00AB09A8">
        <w:rPr>
          <w:sz w:val="22"/>
          <w:szCs w:val="22"/>
        </w:rPr>
        <w:t>À ce sujet, l’acquéreur est informé du fait que le bien est actuellement occupé par un locataire.</w:t>
      </w:r>
    </w:p>
    <w:p w14:paraId="2CCAC04A" w14:textId="77777777" w:rsidR="00CB026D" w:rsidRPr="00AB09A8" w:rsidRDefault="00CB026D" w:rsidP="00CB026D">
      <w:pPr>
        <w:rPr>
          <w:sz w:val="22"/>
          <w:szCs w:val="22"/>
        </w:rPr>
      </w:pPr>
    </w:p>
    <w:p w14:paraId="793F9ED0" w14:textId="77777777" w:rsidR="00CB026D" w:rsidRPr="00AB09A8" w:rsidRDefault="00CB026D" w:rsidP="00AB09A8">
      <w:pPr>
        <w:rPr>
          <w:sz w:val="22"/>
          <w:szCs w:val="22"/>
        </w:rPr>
      </w:pPr>
      <w:r w:rsidRPr="00AB09A8">
        <w:rPr>
          <w:sz w:val="22"/>
          <w:szCs w:val="22"/>
        </w:rPr>
        <w:t>L’ acquéreur reconnait par la même occasion avoir reçu une copie du bail.</w:t>
      </w:r>
    </w:p>
    <w:p w14:paraId="11990756" w14:textId="77777777" w:rsidR="00CB026D" w:rsidRPr="00AB09A8" w:rsidRDefault="00CB026D" w:rsidP="00CB026D">
      <w:pPr>
        <w:rPr>
          <w:sz w:val="22"/>
          <w:szCs w:val="22"/>
        </w:rPr>
      </w:pPr>
    </w:p>
    <w:p w14:paraId="057C33ED" w14:textId="32F41C8A" w:rsidR="004C2390" w:rsidRPr="00AB09A8" w:rsidRDefault="00CB026D" w:rsidP="00AB09A8">
      <w:pPr>
        <w:rPr>
          <w:sz w:val="22"/>
          <w:szCs w:val="22"/>
        </w:rPr>
      </w:pPr>
      <w:r w:rsidRPr="00AB09A8">
        <w:rPr>
          <w:sz w:val="22"/>
          <w:szCs w:val="22"/>
        </w:rPr>
        <w:t>À partir du jour de l’acte authentique, l’acquéreur reprendra à sa charge tous les droits et les obligations à titre de nouveau bailleur.</w:t>
      </w:r>
    </w:p>
    <w:p w14:paraId="327142A2" w14:textId="77777777" w:rsidR="00AB09A8" w:rsidRPr="00AB09A8" w:rsidRDefault="00AB09A8" w:rsidP="00AB09A8">
      <w:pPr>
        <w:rPr>
          <w:color w:val="FFC000"/>
          <w:sz w:val="22"/>
          <w:szCs w:val="22"/>
        </w:rPr>
      </w:pPr>
    </w:p>
    <w:p w14:paraId="25AA7718" w14:textId="77777777" w:rsidR="0034221B" w:rsidRPr="004C2390" w:rsidRDefault="0034221B" w:rsidP="009F5D1F">
      <w:pPr>
        <w:jc w:val="both"/>
        <w:rPr>
          <w:color w:val="00B050"/>
        </w:rPr>
      </w:pPr>
    </w:p>
    <w:p w14:paraId="0110D2E8" w14:textId="7222852A" w:rsidR="002A5E99" w:rsidRPr="007F069C" w:rsidRDefault="00F9446E" w:rsidP="00BF07EF">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BF07EF">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371B739F" w14:textId="77777777" w:rsidR="002A5E99" w:rsidRPr="002A5E99" w:rsidRDefault="002A5E99" w:rsidP="002A5E99">
      <w:pPr>
        <w:jc w:val="both"/>
      </w:pPr>
    </w:p>
    <w:p w14:paraId="13C31D7D" w14:textId="77777777" w:rsidR="008905D5" w:rsidRDefault="008905D5" w:rsidP="00A97D81">
      <w:pPr>
        <w:jc w:val="both"/>
      </w:pPr>
    </w:p>
    <w:p w14:paraId="0F7D504D" w14:textId="2F0B975E" w:rsidR="009F5D1F" w:rsidRPr="00725F89" w:rsidRDefault="00725F89" w:rsidP="00BF07EF">
      <w:pPr>
        <w:pStyle w:val="Paragraphedeliste"/>
        <w:numPr>
          <w:ilvl w:val="0"/>
          <w:numId w:val="11"/>
        </w:numPr>
        <w:jc w:val="both"/>
        <w:rPr>
          <w:sz w:val="22"/>
          <w:szCs w:val="22"/>
        </w:rPr>
      </w:pPr>
      <w:r w:rsidRPr="00725F89">
        <w:t xml:space="preserve"> </w:t>
      </w:r>
      <w:r w:rsidR="003C133E" w:rsidRPr="00725F89">
        <w:t xml:space="preserve">Superficie : </w:t>
      </w:r>
    </w:p>
    <w:p w14:paraId="70BCF14D" w14:textId="77777777" w:rsidR="003C133E" w:rsidRDefault="003C133E" w:rsidP="003C133E">
      <w:pPr>
        <w:jc w:val="both"/>
      </w:pPr>
    </w:p>
    <w:p w14:paraId="4F4DC784" w14:textId="231C0A37" w:rsidR="00F016D2" w:rsidRDefault="00F016D2" w:rsidP="003C133E">
      <w:pPr>
        <w:jc w:val="both"/>
        <w:rPr>
          <w:sz w:val="22"/>
          <w:szCs w:val="22"/>
        </w:rPr>
      </w:pPr>
      <w:r>
        <w:rPr>
          <w:sz w:val="22"/>
          <w:szCs w:val="22"/>
        </w:rPr>
        <w:t>L’acquéreur est informé que la superficie approximative du bien est de</w:t>
      </w:r>
      <w:r w:rsidR="00176133">
        <w:rPr>
          <w:sz w:val="22"/>
          <w:szCs w:val="22"/>
        </w:rPr>
        <w:t xml:space="preserve"> 73</w:t>
      </w:r>
      <w:r w:rsidR="003B7666">
        <w:rPr>
          <w:sz w:val="22"/>
          <w:szCs w:val="22"/>
        </w:rPr>
        <w:t>m²</w:t>
      </w:r>
      <w:r>
        <w:rPr>
          <w:sz w:val="22"/>
          <w:szCs w:val="22"/>
        </w:rPr>
        <w:t xml:space="preserve"> sur base </w:t>
      </w:r>
      <w:r w:rsidR="00176133">
        <w:rPr>
          <w:sz w:val="22"/>
          <w:szCs w:val="22"/>
        </w:rPr>
        <w:t>du PEB.</w:t>
      </w:r>
    </w:p>
    <w:p w14:paraId="7569AA9E" w14:textId="77777777" w:rsidR="00F016D2" w:rsidRDefault="00F016D2" w:rsidP="003C133E">
      <w:pPr>
        <w:jc w:val="both"/>
        <w:rPr>
          <w:sz w:val="22"/>
          <w:szCs w:val="22"/>
        </w:rPr>
      </w:pPr>
    </w:p>
    <w:p w14:paraId="5B9C99E7" w14:textId="0278F71C" w:rsidR="003C133E" w:rsidRPr="006B5161" w:rsidRDefault="00F016D2" w:rsidP="003C133E">
      <w:pPr>
        <w:jc w:val="both"/>
        <w:rPr>
          <w:sz w:val="22"/>
          <w:szCs w:val="22"/>
        </w:rPr>
      </w:pPr>
      <w:r>
        <w:rPr>
          <w:sz w:val="22"/>
          <w:szCs w:val="22"/>
        </w:rPr>
        <w:t>L’acquéreur est par la même occasion informé que l</w:t>
      </w:r>
      <w:r w:rsidR="003C133E" w:rsidRPr="006B5161">
        <w:rPr>
          <w:sz w:val="22"/>
          <w:szCs w:val="22"/>
        </w:rPr>
        <w:t>a superficie reprise dans la description n’est pas garantie.</w:t>
      </w:r>
    </w:p>
    <w:p w14:paraId="6003AD36" w14:textId="77777777" w:rsidR="003C133E" w:rsidRPr="006B5161" w:rsidRDefault="003C133E" w:rsidP="003C133E">
      <w:pPr>
        <w:jc w:val="both"/>
        <w:rPr>
          <w:sz w:val="22"/>
          <w:szCs w:val="22"/>
        </w:rPr>
      </w:pPr>
    </w:p>
    <w:p w14:paraId="3A0A7CF4" w14:textId="4F3CB968" w:rsidR="003C133E" w:rsidRPr="00051314" w:rsidRDefault="003C133E" w:rsidP="003C133E">
      <w:pPr>
        <w:jc w:val="both"/>
        <w:rPr>
          <w:sz w:val="20"/>
          <w:szCs w:val="20"/>
        </w:rPr>
      </w:pPr>
      <w:r w:rsidRPr="00051314">
        <w:rPr>
          <w:sz w:val="20"/>
          <w:szCs w:val="20"/>
        </w:rPr>
        <w:t>Toute différence avec la superficie réelle, en faveur ou en défaveur de l’acquéreur ne modifie pas le prix.</w:t>
      </w:r>
    </w:p>
    <w:p w14:paraId="01D7D9D4" w14:textId="77777777" w:rsidR="00DF5C86" w:rsidRDefault="00DF5C86" w:rsidP="00DF5C86">
      <w:pPr>
        <w:jc w:val="both"/>
      </w:pPr>
    </w:p>
    <w:p w14:paraId="0F0483ED" w14:textId="77777777" w:rsidR="00051314" w:rsidRDefault="00051314" w:rsidP="00DF5C86">
      <w:pPr>
        <w:jc w:val="both"/>
      </w:pPr>
    </w:p>
    <w:p w14:paraId="335EE6CA" w14:textId="537610EB" w:rsidR="00170BD3" w:rsidRPr="006E0268" w:rsidRDefault="00170BD3" w:rsidP="00BF07EF">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41B1C3A2"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t xml:space="preserve">Si un des signataires ne respecte pas ses obligations, l’autre signataire pourra lui envoyer une </w:t>
      </w:r>
      <w:hyperlink r:id="rId14"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poursuivre l’exécution forcée (c’est-à-dire s’adresser au juge afin qu’il condamne le signataire en défaut à respecter ses obligations) ;</w:t>
      </w:r>
    </w:p>
    <w:p w14:paraId="573620F6" w14:textId="0870DB41"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considérer que la vente a pris fin (résolution de la vente) sans intervention préalable du juge. Le signataire qui opte pour cette sanction doit en informer par écrit l’autre signataire en indiquant les obligations qui ne sont pas respectées.</w:t>
      </w:r>
    </w:p>
    <w:p w14:paraId="529B6B5C" w14:textId="1AA49596" w:rsidR="00D11BF1" w:rsidRPr="009003E7" w:rsidRDefault="00D11BF1" w:rsidP="00D11BF1">
      <w:pPr>
        <w:jc w:val="both"/>
        <w:rPr>
          <w:sz w:val="22"/>
          <w:szCs w:val="22"/>
          <w:lang w:val="fr-BE"/>
        </w:rPr>
      </w:pPr>
      <w:r w:rsidRPr="009003E7">
        <w:rPr>
          <w:sz w:val="22"/>
          <w:szCs w:val="22"/>
          <w:lang w:val="fr-BE"/>
        </w:rPr>
        <w:t>Le signataire qui n’a pas exécuté ses obligations devra payer à l’autre signataire</w:t>
      </w:r>
    </w:p>
    <w:p w14:paraId="2F729B23" w14:textId="74359C0D" w:rsidR="00D11BF1" w:rsidRPr="009003E7" w:rsidRDefault="00D11BF1" w:rsidP="00D11BF1">
      <w:pPr>
        <w:jc w:val="both"/>
        <w:rPr>
          <w:sz w:val="22"/>
          <w:szCs w:val="22"/>
          <w:lang w:val="fr-BE"/>
        </w:rPr>
      </w:pPr>
      <w:r w:rsidRPr="009003E7">
        <w:rPr>
          <w:sz w:val="22"/>
          <w:szCs w:val="22"/>
          <w:lang w:val="fr-BE"/>
        </w:rPr>
        <w:t>une indemnité fixée à 10% du prix de vente</w:t>
      </w:r>
      <w:r w:rsidR="00875D11" w:rsidRPr="009003E7">
        <w:rPr>
          <w:sz w:val="22"/>
          <w:szCs w:val="22"/>
          <w:lang w:val="fr-BE"/>
        </w:rPr>
        <w:t>.</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(sauf exception clairement 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F00B444" w14:textId="31056505" w:rsidR="008E58B5" w:rsidRPr="009003E7" w:rsidRDefault="00A234B6" w:rsidP="00170BD3">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BF07EF">
      <w:pPr>
        <w:pStyle w:val="Paragraphedeliste"/>
        <w:numPr>
          <w:ilvl w:val="0"/>
          <w:numId w:val="11"/>
        </w:numPr>
      </w:pPr>
      <w:r>
        <w:t xml:space="preserve"> </w:t>
      </w:r>
      <w:r w:rsidR="00FB6BA4" w:rsidRPr="00FB6BA4">
        <w:t>Conditions supplémentaires : ………………………………………………………………………………………………………………………………………………………………………………………………………………………………………………………………………………………………………………………………………………………………………………………</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6B2DF31E" w:rsidR="00940370" w:rsidRDefault="00940370" w:rsidP="0093730E">
      <w:pPr>
        <w:jc w:val="both"/>
      </w:pPr>
      <w:r>
        <w:t>Si l’acquéreur ne désigne pas de notaire au moment de l’émission de la présente offre alors le notaire désigné par le vendeur sera seul responsable de la rédaction du compromis et de l’acte authentique.</w:t>
      </w:r>
    </w:p>
    <w:p w14:paraId="43929296" w14:textId="77777777" w:rsidR="0089439E" w:rsidRDefault="0089439E" w:rsidP="0093730E">
      <w:pPr>
        <w:jc w:val="both"/>
      </w:pPr>
    </w:p>
    <w:p w14:paraId="7DB161A9" w14:textId="77777777" w:rsidR="005C1C54" w:rsidRDefault="005C1C54" w:rsidP="0093730E">
      <w:pPr>
        <w:jc w:val="both"/>
      </w:pPr>
    </w:p>
    <w:p w14:paraId="2D7A815D" w14:textId="77777777" w:rsidR="005C1C54" w:rsidRDefault="005C1C54" w:rsidP="0093730E">
      <w:pPr>
        <w:jc w:val="both"/>
      </w:pPr>
    </w:p>
    <w:p w14:paraId="50A6D661" w14:textId="77777777" w:rsidR="005C1C54" w:rsidRDefault="005C1C54" w:rsidP="0093730E">
      <w:pPr>
        <w:jc w:val="both"/>
      </w:pPr>
    </w:p>
    <w:p w14:paraId="33A92911" w14:textId="77777777" w:rsidR="005C1C54" w:rsidRDefault="005C1C54" w:rsidP="0093730E">
      <w:pPr>
        <w:jc w:val="both"/>
      </w:pPr>
    </w:p>
    <w:p w14:paraId="17BC6828" w14:textId="77777777" w:rsidR="004B68B7" w:rsidRDefault="004B68B7"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06F90B6C" w:rsidR="0063530F" w:rsidRPr="00D82991" w:rsidRDefault="00D065D8" w:rsidP="0093730E">
      <w:pPr>
        <w:jc w:val="both"/>
        <w:rPr>
          <w:sz w:val="22"/>
          <w:szCs w:val="22"/>
        </w:rPr>
      </w:pPr>
      <w:r w:rsidRPr="00D82991">
        <w:t>La présente offre étant valable jusqu’au : …………………………</w:t>
      </w:r>
      <w:r w:rsidR="00D320FF" w:rsidRPr="00D82991">
        <w:t>…...</w:t>
      </w:r>
      <w:r w:rsidRPr="00D82991">
        <w:t>……..</w:t>
      </w: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15775">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F6EC" w14:textId="77777777" w:rsidR="00F71069" w:rsidRDefault="00F71069" w:rsidP="00860DCD">
      <w:r>
        <w:separator/>
      </w:r>
    </w:p>
  </w:endnote>
  <w:endnote w:type="continuationSeparator" w:id="0">
    <w:p w14:paraId="7A28E747" w14:textId="77777777" w:rsidR="00F71069" w:rsidRDefault="00F71069"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6FB1" w14:textId="77777777" w:rsidR="00F71069" w:rsidRDefault="00F71069" w:rsidP="00860DCD">
      <w:r>
        <w:separator/>
      </w:r>
    </w:p>
  </w:footnote>
  <w:footnote w:type="continuationSeparator" w:id="0">
    <w:p w14:paraId="750A0098" w14:textId="77777777" w:rsidR="00F71069" w:rsidRDefault="00F71069"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CA9"/>
    <w:multiLevelType w:val="hybridMultilevel"/>
    <w:tmpl w:val="89C00A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6"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1"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7"/>
  </w:num>
  <w:num w:numId="2" w16cid:durableId="1622496428">
    <w:abstractNumId w:val="4"/>
  </w:num>
  <w:num w:numId="3" w16cid:durableId="690109320">
    <w:abstractNumId w:val="18"/>
  </w:num>
  <w:num w:numId="4" w16cid:durableId="2062710174">
    <w:abstractNumId w:val="6"/>
  </w:num>
  <w:num w:numId="5" w16cid:durableId="312953495">
    <w:abstractNumId w:val="10"/>
  </w:num>
  <w:num w:numId="6" w16cid:durableId="763846300">
    <w:abstractNumId w:val="21"/>
  </w:num>
  <w:num w:numId="7" w16cid:durableId="421727581">
    <w:abstractNumId w:val="3"/>
  </w:num>
  <w:num w:numId="8" w16cid:durableId="79765013">
    <w:abstractNumId w:val="8"/>
  </w:num>
  <w:num w:numId="9" w16cid:durableId="428164205">
    <w:abstractNumId w:val="15"/>
  </w:num>
  <w:num w:numId="10" w16cid:durableId="1504202138">
    <w:abstractNumId w:val="12"/>
  </w:num>
  <w:num w:numId="11" w16cid:durableId="2024357243">
    <w:abstractNumId w:val="11"/>
  </w:num>
  <w:num w:numId="12" w16cid:durableId="1313633702">
    <w:abstractNumId w:val="9"/>
  </w:num>
  <w:num w:numId="13" w16cid:durableId="510611953">
    <w:abstractNumId w:val="16"/>
  </w:num>
  <w:num w:numId="14" w16cid:durableId="174735459">
    <w:abstractNumId w:val="0"/>
  </w:num>
  <w:num w:numId="15" w16cid:durableId="1470591811">
    <w:abstractNumId w:val="13"/>
  </w:num>
  <w:num w:numId="16" w16cid:durableId="1058043630">
    <w:abstractNumId w:val="2"/>
  </w:num>
  <w:num w:numId="17" w16cid:durableId="994263641">
    <w:abstractNumId w:val="14"/>
  </w:num>
  <w:num w:numId="18" w16cid:durableId="805896263">
    <w:abstractNumId w:val="7"/>
  </w:num>
  <w:num w:numId="19" w16cid:durableId="280185502">
    <w:abstractNumId w:val="19"/>
  </w:num>
  <w:num w:numId="20" w16cid:durableId="1126659011">
    <w:abstractNumId w:val="20"/>
  </w:num>
  <w:num w:numId="21" w16cid:durableId="1932276573">
    <w:abstractNumId w:val="5"/>
  </w:num>
  <w:num w:numId="22" w16cid:durableId="148558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253D0"/>
    <w:rsid w:val="00033580"/>
    <w:rsid w:val="000401B5"/>
    <w:rsid w:val="0004370D"/>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B43A5"/>
    <w:rsid w:val="000D123A"/>
    <w:rsid w:val="000D5F12"/>
    <w:rsid w:val="0011286F"/>
    <w:rsid w:val="00112D65"/>
    <w:rsid w:val="001164E1"/>
    <w:rsid w:val="00117264"/>
    <w:rsid w:val="00120B3C"/>
    <w:rsid w:val="00125933"/>
    <w:rsid w:val="0013791E"/>
    <w:rsid w:val="001458C3"/>
    <w:rsid w:val="001612C4"/>
    <w:rsid w:val="00170BD3"/>
    <w:rsid w:val="00170FE2"/>
    <w:rsid w:val="001734C0"/>
    <w:rsid w:val="001746B1"/>
    <w:rsid w:val="00176133"/>
    <w:rsid w:val="00187A11"/>
    <w:rsid w:val="00196D5A"/>
    <w:rsid w:val="001C53B9"/>
    <w:rsid w:val="001D0CF9"/>
    <w:rsid w:val="001E3A2D"/>
    <w:rsid w:val="001E7498"/>
    <w:rsid w:val="00204A2B"/>
    <w:rsid w:val="00211050"/>
    <w:rsid w:val="00215F93"/>
    <w:rsid w:val="002254CE"/>
    <w:rsid w:val="0024218F"/>
    <w:rsid w:val="002703B5"/>
    <w:rsid w:val="002739A4"/>
    <w:rsid w:val="002775E7"/>
    <w:rsid w:val="00281B14"/>
    <w:rsid w:val="00287230"/>
    <w:rsid w:val="0029052F"/>
    <w:rsid w:val="002962CB"/>
    <w:rsid w:val="002A5E99"/>
    <w:rsid w:val="002B4D94"/>
    <w:rsid w:val="002B5AE3"/>
    <w:rsid w:val="002C1DDE"/>
    <w:rsid w:val="002C3843"/>
    <w:rsid w:val="002C596A"/>
    <w:rsid w:val="002D6592"/>
    <w:rsid w:val="0030360C"/>
    <w:rsid w:val="003049EA"/>
    <w:rsid w:val="00311F05"/>
    <w:rsid w:val="00321F3B"/>
    <w:rsid w:val="003370E9"/>
    <w:rsid w:val="003372E9"/>
    <w:rsid w:val="00341573"/>
    <w:rsid w:val="0034221B"/>
    <w:rsid w:val="003439FB"/>
    <w:rsid w:val="00344680"/>
    <w:rsid w:val="0035382D"/>
    <w:rsid w:val="0036202F"/>
    <w:rsid w:val="00367791"/>
    <w:rsid w:val="00373F8D"/>
    <w:rsid w:val="003838B7"/>
    <w:rsid w:val="00383BA3"/>
    <w:rsid w:val="003908DF"/>
    <w:rsid w:val="003B7666"/>
    <w:rsid w:val="003B7806"/>
    <w:rsid w:val="003C068A"/>
    <w:rsid w:val="003C133E"/>
    <w:rsid w:val="003C7905"/>
    <w:rsid w:val="003D1C18"/>
    <w:rsid w:val="003F7C77"/>
    <w:rsid w:val="004008C8"/>
    <w:rsid w:val="0041562E"/>
    <w:rsid w:val="0042470B"/>
    <w:rsid w:val="00424A2E"/>
    <w:rsid w:val="00430F54"/>
    <w:rsid w:val="00444D8B"/>
    <w:rsid w:val="00461DED"/>
    <w:rsid w:val="004657E7"/>
    <w:rsid w:val="00472223"/>
    <w:rsid w:val="00472F26"/>
    <w:rsid w:val="00475973"/>
    <w:rsid w:val="00477E72"/>
    <w:rsid w:val="004836B1"/>
    <w:rsid w:val="00494A20"/>
    <w:rsid w:val="004B1C39"/>
    <w:rsid w:val="004B58BA"/>
    <w:rsid w:val="004B68B7"/>
    <w:rsid w:val="004B6A32"/>
    <w:rsid w:val="004C2390"/>
    <w:rsid w:val="004D0C91"/>
    <w:rsid w:val="004D6AA2"/>
    <w:rsid w:val="004E38EE"/>
    <w:rsid w:val="005010B0"/>
    <w:rsid w:val="00504CD0"/>
    <w:rsid w:val="00506CD4"/>
    <w:rsid w:val="00514B65"/>
    <w:rsid w:val="00527845"/>
    <w:rsid w:val="005568DE"/>
    <w:rsid w:val="00586597"/>
    <w:rsid w:val="00594E35"/>
    <w:rsid w:val="005975A5"/>
    <w:rsid w:val="005B24FE"/>
    <w:rsid w:val="005C15B9"/>
    <w:rsid w:val="005C1C54"/>
    <w:rsid w:val="005F2519"/>
    <w:rsid w:val="005F44DF"/>
    <w:rsid w:val="00615775"/>
    <w:rsid w:val="00615D13"/>
    <w:rsid w:val="0063530F"/>
    <w:rsid w:val="006427DC"/>
    <w:rsid w:val="00644740"/>
    <w:rsid w:val="00661D16"/>
    <w:rsid w:val="00686799"/>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5F89"/>
    <w:rsid w:val="00734FF7"/>
    <w:rsid w:val="00750E25"/>
    <w:rsid w:val="007546B9"/>
    <w:rsid w:val="0077494B"/>
    <w:rsid w:val="00783A9C"/>
    <w:rsid w:val="00794D5B"/>
    <w:rsid w:val="007A5A8C"/>
    <w:rsid w:val="007C0384"/>
    <w:rsid w:val="007C6899"/>
    <w:rsid w:val="007D0B2C"/>
    <w:rsid w:val="007E0C65"/>
    <w:rsid w:val="007E1EA3"/>
    <w:rsid w:val="007E2F8A"/>
    <w:rsid w:val="007F069C"/>
    <w:rsid w:val="007F0807"/>
    <w:rsid w:val="00806CD2"/>
    <w:rsid w:val="00815F6A"/>
    <w:rsid w:val="00823CEB"/>
    <w:rsid w:val="0082522C"/>
    <w:rsid w:val="00830AFB"/>
    <w:rsid w:val="00840E43"/>
    <w:rsid w:val="00841119"/>
    <w:rsid w:val="0085390D"/>
    <w:rsid w:val="00860DCD"/>
    <w:rsid w:val="00861B67"/>
    <w:rsid w:val="00870F31"/>
    <w:rsid w:val="00875D11"/>
    <w:rsid w:val="0088392E"/>
    <w:rsid w:val="00883FEF"/>
    <w:rsid w:val="008905D5"/>
    <w:rsid w:val="00891EF6"/>
    <w:rsid w:val="00893E69"/>
    <w:rsid w:val="0089439E"/>
    <w:rsid w:val="0089588E"/>
    <w:rsid w:val="00897055"/>
    <w:rsid w:val="00897F40"/>
    <w:rsid w:val="008A3DE6"/>
    <w:rsid w:val="008A7E97"/>
    <w:rsid w:val="008B08D0"/>
    <w:rsid w:val="008C0B7A"/>
    <w:rsid w:val="008C1C27"/>
    <w:rsid w:val="008D0821"/>
    <w:rsid w:val="008D3A88"/>
    <w:rsid w:val="008E1147"/>
    <w:rsid w:val="008E4F43"/>
    <w:rsid w:val="008E58B5"/>
    <w:rsid w:val="008F422A"/>
    <w:rsid w:val="009003E7"/>
    <w:rsid w:val="00901887"/>
    <w:rsid w:val="00902E19"/>
    <w:rsid w:val="00903F81"/>
    <w:rsid w:val="009040D1"/>
    <w:rsid w:val="00910ABB"/>
    <w:rsid w:val="0093730E"/>
    <w:rsid w:val="00940370"/>
    <w:rsid w:val="00954089"/>
    <w:rsid w:val="00956FD5"/>
    <w:rsid w:val="00982F2E"/>
    <w:rsid w:val="00985214"/>
    <w:rsid w:val="009936DA"/>
    <w:rsid w:val="009A2653"/>
    <w:rsid w:val="009C13CC"/>
    <w:rsid w:val="009D34FE"/>
    <w:rsid w:val="009D7CF6"/>
    <w:rsid w:val="009E737E"/>
    <w:rsid w:val="009F308A"/>
    <w:rsid w:val="009F45CD"/>
    <w:rsid w:val="009F5D1F"/>
    <w:rsid w:val="00A109F9"/>
    <w:rsid w:val="00A234B6"/>
    <w:rsid w:val="00A2651D"/>
    <w:rsid w:val="00A36157"/>
    <w:rsid w:val="00A60489"/>
    <w:rsid w:val="00A97D81"/>
    <w:rsid w:val="00AB09A8"/>
    <w:rsid w:val="00AB0AAA"/>
    <w:rsid w:val="00AB3460"/>
    <w:rsid w:val="00AB592E"/>
    <w:rsid w:val="00AD1C61"/>
    <w:rsid w:val="00AE3E41"/>
    <w:rsid w:val="00AE65EC"/>
    <w:rsid w:val="00AF42B8"/>
    <w:rsid w:val="00B35641"/>
    <w:rsid w:val="00B37D6B"/>
    <w:rsid w:val="00B432D5"/>
    <w:rsid w:val="00B52745"/>
    <w:rsid w:val="00B61ABB"/>
    <w:rsid w:val="00B632DC"/>
    <w:rsid w:val="00B70A6F"/>
    <w:rsid w:val="00B74E83"/>
    <w:rsid w:val="00B801E7"/>
    <w:rsid w:val="00B93769"/>
    <w:rsid w:val="00BA1906"/>
    <w:rsid w:val="00BA29B3"/>
    <w:rsid w:val="00BA5236"/>
    <w:rsid w:val="00BB15FE"/>
    <w:rsid w:val="00BC04D1"/>
    <w:rsid w:val="00BC6E18"/>
    <w:rsid w:val="00BD1DD3"/>
    <w:rsid w:val="00BE34A2"/>
    <w:rsid w:val="00BE51F0"/>
    <w:rsid w:val="00BF07EF"/>
    <w:rsid w:val="00BF214B"/>
    <w:rsid w:val="00C01C51"/>
    <w:rsid w:val="00C0407C"/>
    <w:rsid w:val="00C141D4"/>
    <w:rsid w:val="00C31B59"/>
    <w:rsid w:val="00C31FB1"/>
    <w:rsid w:val="00C32FB0"/>
    <w:rsid w:val="00C36825"/>
    <w:rsid w:val="00C41018"/>
    <w:rsid w:val="00C51997"/>
    <w:rsid w:val="00C60E5C"/>
    <w:rsid w:val="00C70050"/>
    <w:rsid w:val="00C76AB8"/>
    <w:rsid w:val="00C77FC1"/>
    <w:rsid w:val="00C969E2"/>
    <w:rsid w:val="00CA7508"/>
    <w:rsid w:val="00CB026D"/>
    <w:rsid w:val="00CB40D1"/>
    <w:rsid w:val="00CE43DE"/>
    <w:rsid w:val="00CF3E91"/>
    <w:rsid w:val="00D009BA"/>
    <w:rsid w:val="00D03D5A"/>
    <w:rsid w:val="00D065D8"/>
    <w:rsid w:val="00D110EA"/>
    <w:rsid w:val="00D11BF1"/>
    <w:rsid w:val="00D12358"/>
    <w:rsid w:val="00D315F3"/>
    <w:rsid w:val="00D320FF"/>
    <w:rsid w:val="00D45CE1"/>
    <w:rsid w:val="00D558F2"/>
    <w:rsid w:val="00D55B27"/>
    <w:rsid w:val="00D56A7C"/>
    <w:rsid w:val="00D56E04"/>
    <w:rsid w:val="00D7398E"/>
    <w:rsid w:val="00D74FE7"/>
    <w:rsid w:val="00D82991"/>
    <w:rsid w:val="00D86A14"/>
    <w:rsid w:val="00D91959"/>
    <w:rsid w:val="00D93EB5"/>
    <w:rsid w:val="00DB2B51"/>
    <w:rsid w:val="00DB5700"/>
    <w:rsid w:val="00DC0207"/>
    <w:rsid w:val="00DC18B9"/>
    <w:rsid w:val="00DC6AB7"/>
    <w:rsid w:val="00DE3641"/>
    <w:rsid w:val="00DF5C86"/>
    <w:rsid w:val="00E06AE9"/>
    <w:rsid w:val="00E14DF8"/>
    <w:rsid w:val="00E32351"/>
    <w:rsid w:val="00E42F8D"/>
    <w:rsid w:val="00E610BA"/>
    <w:rsid w:val="00E70126"/>
    <w:rsid w:val="00E86374"/>
    <w:rsid w:val="00E9195E"/>
    <w:rsid w:val="00E9225B"/>
    <w:rsid w:val="00EA2A7C"/>
    <w:rsid w:val="00ED7747"/>
    <w:rsid w:val="00EE0644"/>
    <w:rsid w:val="00EE2753"/>
    <w:rsid w:val="00F0010F"/>
    <w:rsid w:val="00F016D2"/>
    <w:rsid w:val="00F029DF"/>
    <w:rsid w:val="00F0764C"/>
    <w:rsid w:val="00F23150"/>
    <w:rsid w:val="00F30D68"/>
    <w:rsid w:val="00F3130D"/>
    <w:rsid w:val="00F374A3"/>
    <w:rsid w:val="00F417F3"/>
    <w:rsid w:val="00F447D4"/>
    <w:rsid w:val="00F51DC5"/>
    <w:rsid w:val="00F70C50"/>
    <w:rsid w:val="00F71069"/>
    <w:rsid w:val="00F77838"/>
    <w:rsid w:val="00F9446E"/>
    <w:rsid w:val="00FA0EEE"/>
    <w:rsid w:val="00FB16A3"/>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E5C"/>
    <w:rPr>
      <w:rFonts w:ascii="Arial" w:hAnsi="Arial"/>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hyperlink" Target="https://www.notaire.be/lexique/P/privile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taire.be/lexique/D/date-certa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ire.be/lexique/F/fonds-de-reserve-et-de-roul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otaire.be/lexique/F/fonds-de-reserve-et-de-roulement" TargetMode="External"/><Relationship Id="rId4" Type="http://schemas.openxmlformats.org/officeDocument/2006/relationships/settings" Target="settings.xml"/><Relationship Id="rId9" Type="http://schemas.openxmlformats.org/officeDocument/2006/relationships/hyperlink" Target="https://www.notaire.be/lexique/F/fonds-de-reserve-et-de-roulement" TargetMode="External"/><Relationship Id="rId14" Type="http://schemas.openxmlformats.org/officeDocument/2006/relationships/hyperlink" Target="https://www.notaire.be/lexique/M/mise-en-deme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9665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282</cp:revision>
  <cp:lastPrinted>2023-10-16T15:22:00Z</cp:lastPrinted>
  <dcterms:created xsi:type="dcterms:W3CDTF">2022-08-04T08:13:00Z</dcterms:created>
  <dcterms:modified xsi:type="dcterms:W3CDTF">2025-10-10T06:20:00Z</dcterms:modified>
</cp:coreProperties>
</file>