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22CB5" w14:textId="77777777" w:rsidR="0099715C" w:rsidRDefault="00000000">
      <w:pPr>
        <w:pStyle w:val="Titre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3C5A0CE5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71940AA4" wp14:editId="576933D5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D91AB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Rue du Garion (N°11 Logement 1) 11, 6224 Wanfercée-Baulet</w:t>
      </w:r>
      <w:r>
        <w:rPr>
          <w:rFonts w:ascii="Arial" w:hAnsi="Arial"/>
          <w:noProof/>
          <w:sz w:val="36"/>
        </w:rPr>
        <w:br/>
        <w:t>52071D0005/00E002, 52071D0005/00F002</w:t>
      </w:r>
    </w:p>
    <w:p w14:paraId="4EBA3D37" w14:textId="77777777" w:rsidR="0099715C" w:rsidRDefault="00000000">
      <w:pPr>
        <w:spacing w:after="160"/>
        <w:jc w:val="center"/>
        <w:rPr>
          <w:rFonts w:ascii="Calibri Light" w:hAnsi="Calibri Light"/>
        </w:rPr>
      </w:pPr>
      <w:hyperlink w:anchor="lieu" w:history="1">
        <w:r>
          <w:rPr>
            <w:rFonts w:ascii="Arial" w:hAnsi="Arial"/>
            <w:color w:val="44546A"/>
            <w:sz w:val="28"/>
            <w:u w:val="single"/>
          </w:rPr>
          <w:t>Lieu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nvirons" w:history="1">
        <w:r>
          <w:rPr>
            <w:rFonts w:ascii="Arial" w:hAnsi="Arial"/>
            <w:color w:val="44546A"/>
            <w:sz w:val="28"/>
            <w:u w:val="single"/>
          </w:rPr>
          <w:t>Environs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dastre" w:history="1">
        <w:r>
          <w:rPr>
            <w:rFonts w:ascii="Arial" w:hAnsi="Arial"/>
            <w:color w:val="44546A"/>
            <w:sz w:val="28"/>
            <w:u w:val="single"/>
          </w:rPr>
          <w:t>Cadastre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lan_régional" w:history="1">
        <w:r>
          <w:rPr>
            <w:rFonts w:ascii="Arial" w:hAnsi="Arial"/>
            <w:color w:val="44546A"/>
            <w:sz w:val="28"/>
            <w:u w:val="single"/>
          </w:rPr>
          <w:t>Plan régional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menagement_du_territoire" w:history="1">
        <w:proofErr w:type="spellStart"/>
        <w:r>
          <w:rPr>
            <w:rFonts w:ascii="Arial" w:hAnsi="Arial"/>
            <w:color w:val="44546A"/>
            <w:sz w:val="28"/>
            <w:u w:val="single"/>
          </w:rPr>
          <w:t>Amenagement</w:t>
        </w:r>
        <w:proofErr w:type="spellEnd"/>
        <w:r>
          <w:rPr>
            <w:rFonts w:ascii="Arial" w:hAnsi="Arial"/>
            <w:color w:val="44546A"/>
            <w:sz w:val="28"/>
            <w:u w:val="single"/>
          </w:rPr>
          <w:t xml:space="preserve"> du territoire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sol_et_sous-sol" w:history="1">
        <w:r>
          <w:rPr>
            <w:rFonts w:ascii="Arial" w:hAnsi="Arial"/>
            <w:color w:val="44546A"/>
            <w:sz w:val="28"/>
            <w:u w:val="single"/>
          </w:rPr>
          <w:t>Sol et sous-sol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au" w:history="1">
        <w:r>
          <w:rPr>
            <w:rFonts w:ascii="Arial" w:hAnsi="Arial"/>
            <w:color w:val="44546A"/>
            <w:sz w:val="28"/>
            <w:u w:val="single"/>
          </w:rPr>
          <w:t>Eau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re" w:history="1">
        <w:r>
          <w:rPr>
            <w:rFonts w:ascii="Arial" w:hAnsi="Arial"/>
            <w:color w:val="44546A"/>
            <w:sz w:val="28"/>
            <w:u w:val="single"/>
          </w:rPr>
          <w:t>Nature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droit_de_préemption" w:history="1">
        <w:r>
          <w:rPr>
            <w:rFonts w:ascii="Arial" w:hAnsi="Arial"/>
            <w:color w:val="44546A"/>
            <w:sz w:val="28"/>
            <w:u w:val="single"/>
          </w:rPr>
          <w:t>Droit de préemption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atrimoine_immobilier" w:history="1">
        <w:r>
          <w:rPr>
            <w:rFonts w:ascii="Arial" w:hAnsi="Arial"/>
            <w:color w:val="44546A"/>
            <w:sz w:val="28"/>
            <w:u w:val="single"/>
          </w:rPr>
          <w:t>Patrimoine immobilier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rtes_historiques" w:history="1">
        <w:r>
          <w:rPr>
            <w:rFonts w:ascii="Arial" w:hAnsi="Arial"/>
            <w:color w:val="44546A"/>
            <w:sz w:val="28"/>
            <w:u w:val="single"/>
          </w:rPr>
          <w:t>Cartes historiques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utres_cartes" w:history="1">
        <w:r>
          <w:rPr>
            <w:rFonts w:ascii="Arial" w:hAnsi="Arial"/>
            <w:color w:val="44546A"/>
            <w:sz w:val="28"/>
            <w:u w:val="single"/>
          </w:rPr>
          <w:t>Autres cartes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59CB36A1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Lieu</w:t>
      </w:r>
    </w:p>
    <w:p w14:paraId="63FB9B8C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0" w:name="lieu"/>
      <w:r>
        <w:rPr>
          <w:noProof/>
        </w:rPr>
        <w:drawing>
          <wp:inline distT="0" distB="0" distL="0" distR="0" wp14:anchorId="79F64EC3" wp14:editId="79388D9E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468B3AA0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Environs</w:t>
      </w:r>
    </w:p>
    <w:p w14:paraId="6654F420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1" w:name="environs"/>
      <w:r>
        <w:rPr>
          <w:noProof/>
        </w:rPr>
        <w:drawing>
          <wp:inline distT="0" distB="0" distL="0" distR="0" wp14:anchorId="099DCD21" wp14:editId="05D31FAB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64264DF5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C89A425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Cadastre</w:t>
      </w:r>
    </w:p>
    <w:p w14:paraId="376AE7C0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bookmarkStart w:id="2" w:name="cadastre"/>
    <w:p w14:paraId="1B496F18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"https://eservices.minfin.fgov.be/ecad-web/?local=nl_BE&amp;capakey=52071D0005/00E002"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0F728AD6" wp14:editId="3844F18F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6B37A3F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Situation fiscale</w:t>
      </w:r>
    </w:p>
    <w:p w14:paraId="509B0A8F" w14:textId="77777777" w:rsidR="0099715C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47F3CF2B" wp14:editId="6F5F84C0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66F0EE48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3F2344C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Plan régional</w:t>
      </w:r>
    </w:p>
    <w:p w14:paraId="3DCD0FEA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 w14:paraId="7EE868B5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3" w:name="plan_régional"/>
      <w:r>
        <w:rPr>
          <w:noProof/>
        </w:rPr>
        <w:drawing>
          <wp:inline distT="0" distB="0" distL="0" distR="0" wp14:anchorId="3E74BBAD" wp14:editId="1F50B47D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3505ECC1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7628F4AD" wp14:editId="1C3F85D0">
            <wp:extent cx="3142615" cy="49714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86B79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Avant-projets et projets de modification du Plan du Secteur</w:t>
      </w:r>
    </w:p>
    <w:p w14:paraId="3E1FE61C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4BFD44DE" wp14:editId="4E47DD5A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3A455" wp14:editId="44C4142A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BA240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71C6889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Aménagement du territoire</w:t>
      </w:r>
    </w:p>
    <w:p w14:paraId="47E3303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 w14:paraId="71BD0BF6" w14:textId="77777777" w:rsidR="0099715C" w:rsidRDefault="00000000">
      <w:pPr>
        <w:spacing w:after="160"/>
        <w:rPr>
          <w:rFonts w:ascii="Arial" w:hAnsi="Arial"/>
        </w:rPr>
      </w:pPr>
      <w:bookmarkStart w:id="4" w:name="amenagement_du_territoire"/>
      <w:r>
        <w:rPr>
          <w:noProof/>
        </w:rPr>
        <w:drawing>
          <wp:inline distT="0" distB="0" distL="0" distR="0" wp14:anchorId="31466D72" wp14:editId="75E16E40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644F8429" wp14:editId="598DFCEC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0CAB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w14:paraId="73EE7D90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72CD662" wp14:editId="4E292F9D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474DA" wp14:editId="34D3885E">
            <wp:extent cx="170815" cy="1708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3F37A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2B05407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remembrement urbain (PRU)</w:t>
      </w:r>
    </w:p>
    <w:p w14:paraId="71948009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2234854" wp14:editId="0E9A919D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0F85E" wp14:editId="1DD5212A">
            <wp:extent cx="170815" cy="1708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0BDE5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 w14:paraId="5C81F84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4661B22" wp14:editId="2C2B96C8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44FAC" wp14:editId="1AB14B3C">
            <wp:extent cx="2295525" cy="6711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F49FD" w14:textId="77777777" w:rsidR="0099715C" w:rsidRDefault="0099715C">
      <w:pPr>
        <w:spacing w:after="160"/>
        <w:rPr>
          <w:rFonts w:ascii="Arial" w:hAnsi="Arial"/>
        </w:rPr>
      </w:pPr>
    </w:p>
    <w:p w14:paraId="2866223D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13C41E5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rénovation urbaine</w:t>
      </w:r>
    </w:p>
    <w:p w14:paraId="2FB8DB53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E9FF6CB" wp14:editId="79CB93D9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3DE53" wp14:editId="53A4DE9B">
            <wp:extent cx="170815" cy="17081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2DB63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 w14:paraId="0B6755CF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6FCD2F2" wp14:editId="5C358AAB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5AC99" wp14:editId="138B2155">
            <wp:extent cx="170815" cy="17081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3AECF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Schéma d’Orientation Local (SOL)</w:t>
      </w:r>
    </w:p>
    <w:p w14:paraId="2365EF0D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B8A72C0" wp14:editId="6961046B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36073" wp14:editId="18C804FB">
            <wp:extent cx="1885315" cy="11995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093E0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 w14:paraId="7D85BD28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C73C58F" wp14:editId="106ED785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EB142" wp14:editId="70F2DD55">
            <wp:extent cx="170815" cy="17081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69DFF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0ED7F9D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Guide Communal d’Urbanisme (GCU)</w:t>
      </w:r>
    </w:p>
    <w:p w14:paraId="0E992592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021F41A" wp14:editId="219E446B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36E79" wp14:editId="31A1FB3D">
            <wp:extent cx="913765" cy="6851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311CE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 w14:paraId="3C0ED56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E30207D" wp14:editId="075B2046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1CE22" wp14:editId="507DCABD">
            <wp:extent cx="2295525" cy="251968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E2B96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07AD86F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à réaménager de droit (SAR)</w:t>
      </w:r>
    </w:p>
    <w:p w14:paraId="43CDE3F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4D78D14" wp14:editId="5C4BF8A1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E1373" wp14:editId="0A8D1040">
            <wp:extent cx="1142365" cy="3422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FDCD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 w14:paraId="11B8EB78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0B5292F" wp14:editId="20F9EA49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DAFD0" wp14:editId="726E885D">
            <wp:extent cx="170815" cy="856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E249F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B3FD349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Taxation des bénéfices résultant d’une révision du plan de secteur</w:t>
      </w:r>
    </w:p>
    <w:p w14:paraId="6A99642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57254C5" wp14:editId="5E2ABC24">
            <wp:extent cx="3428365" cy="34283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80A239" wp14:editId="69DC22D2">
            <wp:extent cx="170815" cy="17081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4BED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 w14:paraId="603AAD5A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D30C262" wp14:editId="129DF941">
            <wp:extent cx="3428365" cy="34283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FE94F" wp14:editId="4D566C77">
            <wp:extent cx="17081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92EB6" w14:textId="77777777" w:rsidR="0099715C" w:rsidRDefault="0099715C">
      <w:pPr>
        <w:spacing w:after="160"/>
        <w:rPr>
          <w:rFonts w:ascii="Arial" w:hAnsi="Arial"/>
        </w:rPr>
      </w:pPr>
    </w:p>
    <w:p w14:paraId="4F21CDDD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5EE377A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Seveso</w:t>
      </w:r>
    </w:p>
    <w:p w14:paraId="5771BF0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78BF93C" wp14:editId="1FE52AC5">
            <wp:extent cx="5770880" cy="577088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AFB7D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5A69558" wp14:editId="52BC1946">
            <wp:extent cx="5789295" cy="10490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EB2DE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Sol et sous-sol</w:t>
      </w:r>
    </w:p>
    <w:p w14:paraId="0F30BAEE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w14:paraId="5B7FEC7D" w14:textId="77777777" w:rsidR="0099715C" w:rsidRDefault="00000000">
      <w:pPr>
        <w:spacing w:after="160"/>
        <w:rPr>
          <w:rFonts w:ascii="Arial" w:hAnsi="Arial"/>
        </w:rPr>
      </w:pPr>
      <w:bookmarkStart w:id="5" w:name="sol_et_sous-sol"/>
      <w:r>
        <w:rPr>
          <w:noProof/>
        </w:rPr>
        <w:drawing>
          <wp:inline distT="0" distB="0" distL="0" distR="0" wp14:anchorId="15227723" wp14:editId="664131FC">
            <wp:extent cx="5770880" cy="57708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55A061CF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4D5195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Karstiques</w:t>
      </w:r>
    </w:p>
    <w:p w14:paraId="7E3A01F5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277A31" wp14:editId="7B87AE58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8729D" wp14:editId="5391A243">
            <wp:extent cx="2302510" cy="311975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A0EAA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w14:paraId="09C15093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50ACB25" wp14:editId="5A200602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36414" wp14:editId="46731594">
            <wp:extent cx="170815" cy="8566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CCF73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FEF4386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Etat des sols (BDES)</w:t>
      </w:r>
    </w:p>
    <w:p w14:paraId="08FE2FDE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80F9F17" wp14:editId="1A570468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0D576" wp14:editId="1319D4E1">
            <wp:extent cx="2279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F165E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 w14:paraId="1889C8E7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1087A60" wp14:editId="1D4BAF63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41BC3" wp14:editId="7BFA0DE2">
            <wp:extent cx="2313940" cy="124904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CF498" w14:textId="77777777" w:rsidR="0099715C" w:rsidRDefault="0099715C">
      <w:pPr>
        <w:spacing w:after="160"/>
        <w:rPr>
          <w:rFonts w:ascii="Arial" w:hAnsi="Arial"/>
        </w:rPr>
      </w:pPr>
    </w:p>
    <w:p w14:paraId="357071A4" w14:textId="77777777" w:rsidR="0099715C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35C47553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Eau</w:t>
      </w:r>
    </w:p>
    <w:p w14:paraId="4CD5B556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 w14:paraId="3D9A8952" w14:textId="77777777" w:rsidR="0099715C" w:rsidRDefault="00000000">
      <w:pPr>
        <w:spacing w:after="160"/>
        <w:rPr>
          <w:rFonts w:ascii="Arial" w:hAnsi="Arial"/>
        </w:rPr>
      </w:pPr>
      <w:bookmarkStart w:id="6" w:name="eau"/>
      <w:r>
        <w:rPr>
          <w:noProof/>
        </w:rPr>
        <w:drawing>
          <wp:inline distT="0" distB="0" distL="0" distR="0" wp14:anchorId="42F395A8" wp14:editId="15C11FEE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2CF2B565" wp14:editId="7625A58D">
            <wp:extent cx="2301240" cy="23450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2E9E6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 w14:paraId="5B2417F6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D4D0577" wp14:editId="2ED767CB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5AE1D" wp14:editId="0CE5606F">
            <wp:extent cx="2300605" cy="125476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81881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B90C210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(2021)</w:t>
      </w:r>
    </w:p>
    <w:p w14:paraId="3B71B84E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6B14A41" wp14:editId="6A7A87D6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A0FFB" wp14:editId="7203F7F5">
            <wp:extent cx="2309495" cy="25781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84FA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IDW (2021)</w:t>
      </w:r>
    </w:p>
    <w:p w14:paraId="7DD529F6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D4C61E0" wp14:editId="16538932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30D32" wp14:editId="5EDDFC52">
            <wp:extent cx="1885315" cy="6470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7B036" w14:textId="77777777" w:rsidR="0099715C" w:rsidRDefault="0099715C">
      <w:pPr>
        <w:spacing w:after="160"/>
        <w:rPr>
          <w:rFonts w:ascii="Arial" w:hAnsi="Arial"/>
        </w:rPr>
      </w:pPr>
    </w:p>
    <w:p w14:paraId="22EFEC8C" w14:textId="77777777" w:rsidR="0099715C" w:rsidRDefault="0099715C">
      <w:pPr>
        <w:spacing w:after="160"/>
        <w:rPr>
          <w:rFonts w:ascii="Arial" w:hAnsi="Arial"/>
        </w:rPr>
      </w:pPr>
    </w:p>
    <w:p w14:paraId="6952841C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DA30A6E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Captages en eaux de surface</w:t>
      </w:r>
    </w:p>
    <w:p w14:paraId="12D3D2CA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525C8BC" wp14:editId="159279D7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8E0A8" wp14:editId="7FAF65AB">
            <wp:extent cx="2310130" cy="1092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A450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 w14:paraId="33471FD8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6DC4CC2" wp14:editId="4C7956DD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63273" wp14:editId="16CA61A3">
            <wp:extent cx="2319655" cy="29781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D7670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5D57FC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Plan d’Assainissement par Sous-bassin Hydrographique (PASH)</w:t>
      </w:r>
    </w:p>
    <w:p w14:paraId="3A93CE02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6D10675B" wp14:editId="2959F04B">
            <wp:extent cx="4627880" cy="462788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2FEF6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</w:t>
      </w:r>
      <w:proofErr w:type="spellStart"/>
      <w:r>
        <w:rPr>
          <w:rFonts w:ascii="Arial" w:hAnsi="Arial"/>
        </w:rPr>
        <w:t>pash_legend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scale</w:t>
      </w:r>
      <w:proofErr w:type="spellEnd"/>
      <w:r>
        <w:rPr>
          <w:rFonts w:ascii="Arial" w:hAnsi="Arial"/>
        </w:rPr>
        <w:t>=60%</w:t>
      </w:r>
    </w:p>
    <w:p w14:paraId="320C1436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470243A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Axes de ruissellement concentré et données associées (LIDAXES)</w:t>
      </w:r>
    </w:p>
    <w:p w14:paraId="2D2A78EC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A6425D0" wp14:editId="6F0BA215">
            <wp:extent cx="3428365" cy="342836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5F3D8" wp14:editId="787874D1">
            <wp:extent cx="2313940" cy="291592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DC3E2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B00A03F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Nature</w:t>
      </w:r>
    </w:p>
    <w:p w14:paraId="62108759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 w14:paraId="2F2541EA" w14:textId="77777777" w:rsidR="0099715C" w:rsidRDefault="00000000">
      <w:pPr>
        <w:spacing w:after="160"/>
        <w:rPr>
          <w:rFonts w:ascii="Arial" w:hAnsi="Arial"/>
        </w:rPr>
      </w:pPr>
      <w:bookmarkStart w:id="7" w:name="nature"/>
      <w:r>
        <w:rPr>
          <w:noProof/>
        </w:rPr>
        <w:drawing>
          <wp:inline distT="0" distB="0" distL="0" distR="0" wp14:anchorId="40265D7A" wp14:editId="1ADCEC5C">
            <wp:extent cx="3428365" cy="342836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28645380" wp14:editId="2BE41351">
            <wp:extent cx="1256665" cy="188531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E8D0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1D54B895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7C5DEA5" wp14:editId="2CFB4013">
            <wp:extent cx="3428365" cy="342836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5F477" wp14:editId="541051B8">
            <wp:extent cx="2294255" cy="20021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9F5B5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89408D5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Loi sur le contrat d’ assurance terrestre</w:t>
      </w:r>
    </w:p>
    <w:p w14:paraId="32239252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11BED8B" wp14:editId="77749DF9">
            <wp:extent cx="3428365" cy="342836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D474D" wp14:editId="770539E6">
            <wp:extent cx="2313940" cy="41592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11D72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Fichier </w:t>
      </w:r>
      <w:proofErr w:type="spellStart"/>
      <w:r>
        <w:rPr>
          <w:rFonts w:ascii="Arial" w:hAnsi="Arial"/>
        </w:rPr>
        <w:t>ecologique</w:t>
      </w:r>
      <w:proofErr w:type="spellEnd"/>
      <w:r>
        <w:rPr>
          <w:rFonts w:ascii="Arial" w:hAnsi="Arial"/>
        </w:rPr>
        <w:t xml:space="preserve"> des essences</w:t>
      </w:r>
    </w:p>
    <w:p w14:paraId="3AC36718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E8B2019" wp14:editId="5A5B1627">
            <wp:extent cx="3428365" cy="342836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DC369" wp14:editId="54EE8CE7">
            <wp:extent cx="1141730" cy="268478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6E4E6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983BF3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Conservation de la nature</w:t>
      </w:r>
    </w:p>
    <w:p w14:paraId="68409E6F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EA05A33" wp14:editId="48B14007">
            <wp:extent cx="3428365" cy="342836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21CCA" wp14:editId="2D475FD4">
            <wp:extent cx="2312670" cy="196088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AFB4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 w14:paraId="4A562B9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63417D1" wp14:editId="37827190">
            <wp:extent cx="3428365" cy="3428365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B637A" wp14:editId="413401B5">
            <wp:extent cx="1313815" cy="51371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3B338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28F6A5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Parcellaire agricole anonyme 2019 (SIGEC)</w:t>
      </w:r>
    </w:p>
    <w:p w14:paraId="32EFAD9A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332540D" wp14:editId="3CCF1B4A">
            <wp:extent cx="3428365" cy="342836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6B1EF" wp14:editId="48F51CAD">
            <wp:extent cx="2113915" cy="154241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3BB8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 w14:paraId="4E9EB217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E5A069D" wp14:editId="5EBCB935">
            <wp:extent cx="3428365" cy="342836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A0FFB" wp14:editId="47E3CEF9">
            <wp:extent cx="2113915" cy="154241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2FA17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Droit de préemption</w:t>
      </w:r>
    </w:p>
    <w:p w14:paraId="0DE1271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Communes </w:t>
      </w:r>
      <w:proofErr w:type="spellStart"/>
      <w:r>
        <w:rPr>
          <w:rFonts w:ascii="Arial" w:hAnsi="Arial"/>
        </w:rPr>
        <w:t>préemptables</w:t>
      </w:r>
      <w:proofErr w:type="spellEnd"/>
    </w:p>
    <w:p w14:paraId="11A64673" w14:textId="77777777" w:rsidR="0099715C" w:rsidRDefault="00000000">
      <w:pPr>
        <w:spacing w:after="160"/>
        <w:rPr>
          <w:rFonts w:ascii="Arial" w:hAnsi="Arial"/>
        </w:rPr>
      </w:pPr>
      <w:bookmarkStart w:id="8" w:name="droit_de_préemption"/>
      <w:r>
        <w:rPr>
          <w:noProof/>
        </w:rPr>
        <w:drawing>
          <wp:inline distT="0" distB="0" distL="0" distR="0" wp14:anchorId="0988088B" wp14:editId="42BC670E">
            <wp:extent cx="3428365" cy="342836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noProof/>
        </w:rPr>
        <w:drawing>
          <wp:inline distT="0" distB="0" distL="0" distR="0" wp14:anchorId="50CA6485" wp14:editId="7F7F1363">
            <wp:extent cx="2313940" cy="64262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9651F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 w14:paraId="3ED92AB5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917AB56" wp14:editId="2C14CB26">
            <wp:extent cx="3428365" cy="342836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24088" wp14:editId="1B325F13">
            <wp:extent cx="170815" cy="17081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8306E" w14:textId="77777777" w:rsidR="0099715C" w:rsidRDefault="0099715C">
      <w:pPr>
        <w:spacing w:after="160"/>
        <w:rPr>
          <w:rFonts w:ascii="Arial" w:hAnsi="Arial"/>
        </w:rPr>
      </w:pPr>
    </w:p>
    <w:p w14:paraId="6876BB28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lastRenderedPageBreak/>
        <w:br w:type="page"/>
      </w:r>
    </w:p>
    <w:p w14:paraId="2DF6ED83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Patrimoine immobilier</w:t>
      </w:r>
    </w:p>
    <w:p w14:paraId="7502775B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 w14:paraId="7AA9C3CF" w14:textId="77777777" w:rsidR="0099715C" w:rsidRDefault="00000000">
      <w:pPr>
        <w:spacing w:after="160"/>
        <w:rPr>
          <w:rFonts w:ascii="Arial" w:hAnsi="Arial"/>
        </w:rPr>
      </w:pPr>
      <w:bookmarkStart w:id="9" w:name="patrimoine_immobilier"/>
      <w:r>
        <w:rPr>
          <w:noProof/>
        </w:rPr>
        <w:drawing>
          <wp:inline distT="0" distB="0" distL="0" distR="0" wp14:anchorId="7676222F" wp14:editId="2D0A4D73">
            <wp:extent cx="3428365" cy="342836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7F4A0FA9" wp14:editId="5747D342">
            <wp:extent cx="170815" cy="85661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9CFD0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 w14:paraId="223642E5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79807765" wp14:editId="50715786">
            <wp:extent cx="3428365" cy="342836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79702" wp14:editId="1AA8EDB6">
            <wp:extent cx="170815" cy="85661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16B106F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Patrimoine biens mondiaux</w:t>
      </w:r>
    </w:p>
    <w:p w14:paraId="2065C971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DB42B9E" wp14:editId="63FA37B2">
            <wp:extent cx="3428365" cy="342836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785B4" wp14:editId="1A10FC4C">
            <wp:extent cx="170815" cy="34226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DA9FF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 w14:paraId="679F9372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8ABA20A" wp14:editId="0B74167A">
            <wp:extent cx="3428365" cy="342836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F0CAD" wp14:editId="2DE63831">
            <wp:extent cx="170815" cy="85661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86756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1D12FC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Carte archéologique</w:t>
      </w:r>
    </w:p>
    <w:p w14:paraId="11239222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40686A4" wp14:editId="39682F6C">
            <wp:extent cx="3428365" cy="342836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02729" wp14:editId="541B436F">
            <wp:extent cx="170815" cy="17081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9E0D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 w14:paraId="3C2384AD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4F6D6C3" wp14:editId="7C99BDB8">
            <wp:extent cx="3428365" cy="342836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0359A" wp14:editId="55E5353A">
            <wp:extent cx="1342390" cy="108521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5C241" w14:textId="77777777" w:rsidR="0099715C" w:rsidRDefault="0099715C">
      <w:pPr>
        <w:spacing w:after="160"/>
        <w:rPr>
          <w:rFonts w:ascii="Arial" w:hAnsi="Arial"/>
        </w:rPr>
      </w:pPr>
    </w:p>
    <w:p w14:paraId="271A168D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EDFD805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Cartes historiques</w:t>
      </w:r>
    </w:p>
    <w:p w14:paraId="5C6F058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 w14:paraId="2A3380A8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10" w:name="cartes_historiques"/>
      <w:r>
        <w:rPr>
          <w:noProof/>
        </w:rPr>
        <w:drawing>
          <wp:inline distT="0" distB="0" distL="0" distR="0" wp14:anchorId="5537DB92" wp14:editId="5AEF4049">
            <wp:extent cx="5770880" cy="577088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14DB6F7F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1511309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Autres cartes</w:t>
      </w:r>
    </w:p>
    <w:p w14:paraId="5E540713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 w14:paraId="58A056B1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11" w:name="autres_cartes"/>
      <w:r>
        <w:rPr>
          <w:noProof/>
        </w:rPr>
        <w:drawing>
          <wp:inline distT="0" distB="0" distL="0" distR="0" wp14:anchorId="27821EF7" wp14:editId="45EAB987">
            <wp:extent cx="5770880" cy="577088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1A2AA8A2" w14:textId="77777777" w:rsidR="0099715C" w:rsidRDefault="0099715C">
      <w:pPr>
        <w:spacing w:after="160"/>
        <w:jc w:val="center"/>
        <w:rPr>
          <w:rFonts w:ascii="Arial" w:hAnsi="Arial"/>
        </w:rPr>
      </w:pPr>
    </w:p>
    <w:sectPr w:rsidR="0099715C">
      <w:headerReference w:type="default" r:id="rId77"/>
      <w:footerReference w:type="default" r:id="rId78"/>
      <w:pgSz w:w="11906" w:h="16838" w:code="9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3307F" w14:textId="77777777" w:rsidR="00945276" w:rsidRDefault="00945276">
      <w:pPr>
        <w:spacing w:after="0" w:line="240" w:lineRule="auto"/>
      </w:pPr>
      <w:r>
        <w:separator/>
      </w:r>
    </w:p>
  </w:endnote>
  <w:endnote w:type="continuationSeparator" w:id="0">
    <w:p w14:paraId="6E780AA1" w14:textId="77777777" w:rsidR="00945276" w:rsidRDefault="00945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27FB2" w14:textId="77777777" w:rsidR="0099715C" w:rsidRDefault="0099715C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64D9926C" w14:textId="77777777" w:rsidR="0099715C" w:rsidRDefault="0099715C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09D3335F" w14:textId="77777777" w:rsidR="0099715C" w:rsidRDefault="0099715C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066679D7" w14:textId="77777777" w:rsidR="0099715C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w14:paraId="245CD4AB" w14:textId="77777777" w:rsidR="0099715C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20/11/2025 - pt28bx8qaql56uaukbs2w7zyazdgkvnm95bhuou2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41BDF" w14:textId="77777777" w:rsidR="00945276" w:rsidRDefault="00945276">
      <w:pPr>
        <w:spacing w:after="0" w:line="240" w:lineRule="auto"/>
      </w:pPr>
      <w:r>
        <w:separator/>
      </w:r>
    </w:p>
  </w:footnote>
  <w:footnote w:type="continuationSeparator" w:id="0">
    <w:p w14:paraId="7DA6789D" w14:textId="77777777" w:rsidR="00945276" w:rsidRDefault="00945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6C3CE" w14:textId="77777777" w:rsidR="0099715C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61527D17" w14:textId="77777777" w:rsidR="0099715C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Rue du Garion (N°11 Logement 1) 11, 6224 Wanfercée-Baulet</w:t>
    </w:r>
  </w:p>
  <w:p w14:paraId="3495D198" w14:textId="77777777" w:rsidR="0099715C" w:rsidRDefault="0099715C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15C"/>
    <w:rsid w:val="001766F0"/>
    <w:rsid w:val="00945276"/>
    <w:rsid w:val="0099715C"/>
    <w:rsid w:val="00A2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DD7BF"/>
  <w15:docId w15:val="{C07E897C-9E98-42ED-9356-B274C622D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fr-BE" w:eastAsia="fr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Times New Roman" w:hAnsi="Times New Roman"/>
      <w:color w:val="5A5A5A"/>
    </w:rPr>
  </w:style>
  <w:style w:type="character" w:styleId="Numrodeligne">
    <w:name w:val="line number"/>
    <w:basedOn w:val="Policepardfaut"/>
    <w:semiHidden/>
  </w:style>
  <w:style w:type="character" w:styleId="Lienhypertexte">
    <w:name w:val="Hyperlink"/>
    <w:basedOn w:val="Policepardfaut"/>
    <w:rPr>
      <w:rFonts w:ascii="Times New Roman" w:hAnsi="Times New Roman"/>
      <w:color w:val="0563C1"/>
      <w:sz w:val="24"/>
      <w:u w:val="single"/>
    </w:rPr>
  </w:style>
  <w:style w:type="character" w:customStyle="1" w:styleId="Titre1Car">
    <w:name w:val="Titre 1 Car"/>
    <w:basedOn w:val="Policepardfaut"/>
    <w:link w:val="Titre1"/>
    <w:rPr>
      <w:rFonts w:ascii="Times New Roman" w:hAnsi="Times New Roman"/>
      <w:color w:val="2F5496"/>
      <w:sz w:val="32"/>
    </w:rPr>
  </w:style>
  <w:style w:type="character" w:customStyle="1" w:styleId="Titre2Car">
    <w:name w:val="Titre 2 Car"/>
    <w:basedOn w:val="Policepardfaut"/>
    <w:link w:val="Titre2"/>
    <w:rPr>
      <w:rFonts w:ascii="Times New Roman" w:hAnsi="Times New Roman"/>
      <w:color w:val="2F5496"/>
      <w:sz w:val="26"/>
    </w:rPr>
  </w:style>
  <w:style w:type="character" w:customStyle="1" w:styleId="Titre3Car">
    <w:name w:val="Titre 3 Car"/>
    <w:basedOn w:val="Policepardfaut"/>
    <w:link w:val="Titre3"/>
    <w:rPr>
      <w:rFonts w:ascii="Times New Roman" w:hAnsi="Times New Roman"/>
      <w:color w:val="1F3763"/>
      <w:sz w:val="24"/>
    </w:rPr>
  </w:style>
  <w:style w:type="character" w:customStyle="1" w:styleId="TitreCar">
    <w:name w:val="Titre Car"/>
    <w:basedOn w:val="Policepardfaut"/>
    <w:link w:val="Titre"/>
    <w:rPr>
      <w:rFonts w:ascii="Times New Roman" w:hAnsi="Times New Roman"/>
      <w:sz w:val="56"/>
    </w:rPr>
  </w:style>
  <w:style w:type="character" w:styleId="Accentuation">
    <w:name w:val="Emphasis"/>
    <w:qFormat/>
    <w:rPr>
      <w:rFonts w:ascii="Times New Roman" w:hAnsi="Times New Roman"/>
      <w:i/>
      <w:sz w:val="24"/>
    </w:rPr>
  </w:style>
  <w:style w:type="character" w:styleId="Mentionnonrsolue">
    <w:name w:val="Unresolved Mention"/>
    <w:basedOn w:val="Policepardfaut"/>
    <w:rPr>
      <w:rFonts w:ascii="Times New Roman" w:hAnsi="Times New Roman"/>
      <w:color w:val="605E5C"/>
      <w:sz w:val="24"/>
      <w:shd w:val="clear" w:color="auto" w:fill="E1DFDD"/>
    </w:rPr>
  </w:style>
  <w:style w:type="character" w:styleId="Lienhypertextesuivivisit">
    <w:name w:val="FollowedHyperlink"/>
    <w:basedOn w:val="Policepardfaut"/>
    <w:rPr>
      <w:rFonts w:ascii="Times New Roman" w:hAnsi="Times New Roman"/>
      <w:color w:val="954F72"/>
      <w:sz w:val="24"/>
      <w:u w:val="single"/>
    </w:rPr>
  </w:style>
  <w:style w:type="character" w:customStyle="1" w:styleId="CitationintenseCar">
    <w:name w:val="Citation intense Car"/>
    <w:basedOn w:val="Policepardfaut"/>
    <w:link w:val="Citationintense"/>
    <w:rPr>
      <w:rFonts w:ascii="Times New Roman" w:hAnsi="Times New Roman"/>
      <w:i/>
      <w:color w:val="4472C4"/>
      <w:sz w:val="24"/>
    </w:rPr>
  </w:style>
  <w:style w:type="character" w:customStyle="1" w:styleId="Sous-titreCar">
    <w:name w:val="Sous-titre Car"/>
    <w:basedOn w:val="Policepardfaut"/>
    <w:link w:val="Sous-titre"/>
    <w:rPr>
      <w:rFonts w:ascii="Times New Roman" w:hAnsi="Times New Roman"/>
      <w:color w:val="5A5A5A"/>
      <w:sz w:val="24"/>
    </w:rPr>
  </w:style>
  <w:style w:type="table" w:styleId="Tableausimple1">
    <w:name w:val="Table Simple 1"/>
    <w:basedOn w:val="TableauNorma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hyperlink" Target="https://eservices.minfin.fgov.be/ecad-web/?local=nl_BE&amp;capakey=52071D0005/00E002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82" Type="http://schemas.openxmlformats.org/officeDocument/2006/relationships/customXml" Target="../customXml/item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s://eservices.minfin.fgov.be/ecad-web/?local=nl_BE&amp;capakey=52071D0005/00E002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8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s://eservices.minfin.fgov.be/ecad-web/?local=nl_BE&amp;capakey=52071D0005/00E002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36cb25121f4b6a8f14d7795cf478611e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bc5c02272f075be6da625337bc8d8586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A6FA56-65D8-4BD3-AE3E-A5331DE093DB}"/>
</file>

<file path=customXml/itemProps2.xml><?xml version="1.0" encoding="utf-8"?>
<ds:datastoreItem xmlns:ds="http://schemas.openxmlformats.org/officeDocument/2006/customXml" ds:itemID="{EC64A0EA-E624-4F8D-A080-1683777B625A}"/>
</file>

<file path=customXml/itemProps3.xml><?xml version="1.0" encoding="utf-8"?>
<ds:datastoreItem xmlns:ds="http://schemas.openxmlformats.org/officeDocument/2006/customXml" ds:itemID="{A396764D-EEB1-458F-946A-A74AD90E09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488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Notaire De Roose - Véronique Magotteaux</dc:creator>
  <cp:lastModifiedBy>Notaires De Roose &amp; Mommaerts - Véronique Magotteaux</cp:lastModifiedBy>
  <cp:revision>2</cp:revision>
  <dcterms:created xsi:type="dcterms:W3CDTF">2025-11-20T11:31:00Z</dcterms:created>
  <dcterms:modified xsi:type="dcterms:W3CDTF">2025-11-20T11:31:00Z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